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F3350" w14:textId="4DD49992" w:rsidR="002B3287" w:rsidRPr="0052208E" w:rsidRDefault="002B3287" w:rsidP="002B3287">
      <w:pPr>
        <w:pStyle w:val="3GPPHeader"/>
        <w:spacing w:after="60"/>
      </w:pPr>
      <w:r w:rsidRPr="00CE0424">
        <w:t>3GPP TSG-RAN WG</w:t>
      </w:r>
      <w:r>
        <w:t>1</w:t>
      </w:r>
      <w:r w:rsidRPr="00CE0424">
        <w:t xml:space="preserve"> </w:t>
      </w:r>
      <w:r>
        <w:t xml:space="preserve">Meeting </w:t>
      </w:r>
      <w:r w:rsidRPr="00CE0424">
        <w:t>#</w:t>
      </w:r>
      <w:r>
        <w:t>98</w:t>
      </w:r>
      <w:r w:rsidR="00F31211">
        <w:t>bis</w:t>
      </w:r>
      <w:r w:rsidRPr="00CE0424">
        <w:tab/>
      </w:r>
      <w:r w:rsidR="003F2C65" w:rsidRPr="003F2C65">
        <w:t>R1-1910000</w:t>
      </w:r>
    </w:p>
    <w:p w14:paraId="0007BCF3" w14:textId="77777777" w:rsidR="00F31211" w:rsidRPr="00CE0424" w:rsidRDefault="00F31211" w:rsidP="00F31211">
      <w:pPr>
        <w:pStyle w:val="3GPPHeader"/>
        <w:spacing w:after="60"/>
      </w:pPr>
      <w:r>
        <w:t>Chongqing</w:t>
      </w:r>
      <w:r w:rsidRPr="00BD79F6">
        <w:t xml:space="preserve">, </w:t>
      </w:r>
      <w:r>
        <w:t>People’s</w:t>
      </w:r>
      <w:r w:rsidRPr="00BD79F6">
        <w:t xml:space="preserve"> Republic</w:t>
      </w:r>
      <w:r>
        <w:t xml:space="preserve"> of China</w:t>
      </w:r>
      <w:r w:rsidRPr="00BD79F6">
        <w:t xml:space="preserve">, </w:t>
      </w:r>
      <w:r>
        <w:t>October</w:t>
      </w:r>
      <w:r w:rsidRPr="00BD79F6">
        <w:t xml:space="preserve"> </w:t>
      </w:r>
      <w:r>
        <w:t>14</w:t>
      </w:r>
      <w:r w:rsidRPr="00BD79F6">
        <w:t xml:space="preserve">th – </w:t>
      </w:r>
      <w:r>
        <w:t>2</w:t>
      </w:r>
      <w:r w:rsidRPr="00BD79F6">
        <w:t>0th 2019</w:t>
      </w:r>
    </w:p>
    <w:p w14:paraId="7C38A179" w14:textId="77777777" w:rsidR="00E11349" w:rsidRPr="002B3287" w:rsidRDefault="00E11349" w:rsidP="00311702">
      <w:pPr>
        <w:pStyle w:val="3GPPHeader"/>
        <w:rPr>
          <w:sz w:val="22"/>
          <w:szCs w:val="22"/>
        </w:rPr>
      </w:pPr>
    </w:p>
    <w:p w14:paraId="3C6869D1" w14:textId="778378B4"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3F2C65" w:rsidRPr="003F2C65">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Pr="00EE5E13" w:rsidRDefault="003D3C45" w:rsidP="00D546FF">
      <w:pPr>
        <w:pStyle w:val="3GPPHeader"/>
        <w:rPr>
          <w:sz w:val="20"/>
          <w:szCs w:val="22"/>
        </w:rPr>
      </w:pPr>
      <w:r>
        <w:rPr>
          <w:sz w:val="22"/>
          <w:szCs w:val="22"/>
        </w:rPr>
        <w:t>Title:</w:t>
      </w:r>
      <w:r w:rsidR="00E90E49" w:rsidRPr="00CE0424">
        <w:rPr>
          <w:sz w:val="22"/>
          <w:szCs w:val="22"/>
        </w:rPr>
        <w:tab/>
      </w:r>
      <w:r w:rsidR="00114492" w:rsidRPr="00EE5E13">
        <w:rPr>
          <w:sz w:val="22"/>
          <w:lang w:eastAsia="x-none"/>
        </w:rPr>
        <w:t>Presence of NRS on a non-anchor carrier for paging in NB-IoT</w:t>
      </w:r>
      <w:r w:rsidR="00114492" w:rsidRPr="00EE5E13">
        <w:rPr>
          <w:sz w:val="20"/>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DC0667">
      <w:pPr>
        <w:pStyle w:val="Heading1"/>
        <w:numPr>
          <w:ilvl w:val="0"/>
          <w:numId w:val="14"/>
        </w:numPr>
      </w:pPr>
      <w:r w:rsidRPr="00CE0424">
        <w:t>Introduction</w:t>
      </w:r>
    </w:p>
    <w:p w14:paraId="7C48702B" w14:textId="62DAD946" w:rsidR="00477768" w:rsidRPr="00C13DA3" w:rsidRDefault="00251DCA" w:rsidP="00CE0424">
      <w:pPr>
        <w:pStyle w:val="BodyText"/>
        <w:rPr>
          <w:rFonts w:ascii="Times New Roman" w:hAnsi="Times New Roman"/>
        </w:rPr>
      </w:pPr>
      <w:bookmarkStart w:id="0" w:name="_Hlk528935734"/>
      <w:r w:rsidRPr="00C13DA3">
        <w:rPr>
          <w:rFonts w:ascii="Times New Roman" w:hAnsi="Times New Roman"/>
        </w:rPr>
        <w:t xml:space="preserve">In the </w:t>
      </w:r>
      <w:r w:rsidR="00E11349" w:rsidRPr="00C13DA3">
        <w:rPr>
          <w:rFonts w:ascii="Times New Roman" w:hAnsi="Times New Roman"/>
        </w:rPr>
        <w:t xml:space="preserve">Rel-16 </w:t>
      </w:r>
      <w:r w:rsidRPr="00C13DA3">
        <w:rPr>
          <w:rFonts w:ascii="Times New Roman" w:hAnsi="Times New Roman"/>
        </w:rPr>
        <w:t>work item description (WID) o</w:t>
      </w:r>
      <w:r w:rsidR="00E11349" w:rsidRPr="00C13DA3">
        <w:rPr>
          <w:rFonts w:ascii="Times New Roman" w:hAnsi="Times New Roman"/>
        </w:rPr>
        <w:t>n</w:t>
      </w:r>
      <w:r w:rsidRPr="00C13DA3">
        <w:rPr>
          <w:rFonts w:ascii="Times New Roman" w:hAnsi="Times New Roman"/>
        </w:rPr>
        <w:t xml:space="preserve"> </w:t>
      </w:r>
      <w:r w:rsidR="00E11349" w:rsidRPr="00C13DA3">
        <w:rPr>
          <w:rFonts w:ascii="Times New Roman" w:hAnsi="Times New Roman"/>
        </w:rPr>
        <w:t>“</w:t>
      </w:r>
      <w:r w:rsidR="005258C7" w:rsidRPr="00C13DA3">
        <w:rPr>
          <w:rFonts w:ascii="Times New Roman" w:hAnsi="Times New Roman"/>
        </w:rPr>
        <w:t>Additional</w:t>
      </w:r>
      <w:r w:rsidRPr="00C13DA3">
        <w:rPr>
          <w:rFonts w:ascii="Times New Roman" w:hAnsi="Times New Roman"/>
        </w:rPr>
        <w:t xml:space="preserve"> enhancements for NB-IoT</w:t>
      </w:r>
      <w:r w:rsidR="00E11349" w:rsidRPr="00C13DA3">
        <w:rPr>
          <w:rFonts w:ascii="Times New Roman" w:hAnsi="Times New Roman"/>
        </w:rPr>
        <w:t>”</w:t>
      </w:r>
      <w:r w:rsidRPr="00C13DA3">
        <w:rPr>
          <w:rFonts w:ascii="Times New Roman" w:hAnsi="Times New Roman"/>
        </w:rPr>
        <w:t>, one of the objectives is to improve the multi-carrier operation as follows</w:t>
      </w:r>
      <w:r w:rsidR="000A0840">
        <w:rPr>
          <w:rFonts w:ascii="Times New Roman" w:hAnsi="Times New Roman"/>
        </w:rPr>
        <w:t xml:space="preserve"> </w:t>
      </w:r>
      <w:r w:rsidR="000A0840">
        <w:rPr>
          <w:rFonts w:ascii="Times New Roman" w:hAnsi="Times New Roman"/>
        </w:rPr>
        <w:fldChar w:fldCharType="begin"/>
      </w:r>
      <w:r w:rsidR="000A0840">
        <w:rPr>
          <w:rFonts w:ascii="Times New Roman" w:hAnsi="Times New Roman"/>
        </w:rPr>
        <w:instrText xml:space="preserve"> REF _Ref20998823 \r \h </w:instrText>
      </w:r>
      <w:r w:rsidR="000A0840">
        <w:rPr>
          <w:rFonts w:ascii="Times New Roman" w:hAnsi="Times New Roman"/>
        </w:rPr>
      </w:r>
      <w:r w:rsidR="000A0840">
        <w:rPr>
          <w:rFonts w:ascii="Times New Roman" w:hAnsi="Times New Roman"/>
        </w:rPr>
        <w:fldChar w:fldCharType="separate"/>
      </w:r>
      <w:r w:rsidR="009D7443">
        <w:rPr>
          <w:rFonts w:ascii="Times New Roman" w:hAnsi="Times New Roman"/>
        </w:rPr>
        <w:t>[1]</w:t>
      </w:r>
      <w:r w:rsidR="000A0840">
        <w:rPr>
          <w:rFonts w:ascii="Times New Roman" w:hAnsi="Times New Roman"/>
        </w:rPr>
        <w:fldChar w:fldCharType="end"/>
      </w:r>
      <w:r w:rsidRPr="00C13DA3">
        <w:rPr>
          <w:rFonts w:ascii="Times New Roman" w:hAnsi="Times New Roman"/>
        </w:rPr>
        <w:t xml:space="preserve">. </w:t>
      </w:r>
    </w:p>
    <w:bookmarkEnd w:id="0"/>
    <w:p w14:paraId="459EC608" w14:textId="77777777" w:rsidR="00251DCA" w:rsidRPr="00C13DA3" w:rsidRDefault="00251DCA" w:rsidP="00DC0667">
      <w:pPr>
        <w:numPr>
          <w:ilvl w:val="0"/>
          <w:numId w:val="13"/>
        </w:numPr>
        <w:spacing w:after="0"/>
        <w:rPr>
          <w:bCs/>
        </w:rPr>
      </w:pPr>
      <w:r w:rsidRPr="00C13DA3">
        <w:rPr>
          <w:bCs/>
        </w:rPr>
        <w:t xml:space="preserve">Specify signalling to indicate on a non-anchor carrier for paging a set of subframes which will contain NRS even when no paging NPDCCH is transmitted [RAN1, RAN2, RAN4] </w:t>
      </w:r>
    </w:p>
    <w:p w14:paraId="22250154" w14:textId="77777777" w:rsidR="00EC5209" w:rsidRPr="00C13DA3" w:rsidRDefault="00EC5209" w:rsidP="00CE0424">
      <w:pPr>
        <w:pStyle w:val="BodyText"/>
        <w:rPr>
          <w:rFonts w:ascii="Times New Roman" w:hAnsi="Times New Roman"/>
        </w:rPr>
      </w:pPr>
    </w:p>
    <w:p w14:paraId="0EBE8A68" w14:textId="06C01AF4" w:rsidR="007F6428" w:rsidRDefault="00B249B5" w:rsidP="002B3287">
      <w:pPr>
        <w:pStyle w:val="BodyText"/>
        <w:rPr>
          <w:rFonts w:ascii="Times New Roman" w:hAnsi="Times New Roman"/>
        </w:rPr>
      </w:pPr>
      <w:r w:rsidRPr="00C13DA3">
        <w:rPr>
          <w:rFonts w:ascii="Times New Roman" w:hAnsi="Times New Roman"/>
        </w:rPr>
        <w:t>In RAN1#9</w:t>
      </w:r>
      <w:r w:rsidR="00627510">
        <w:rPr>
          <w:rFonts w:ascii="Times New Roman" w:hAnsi="Times New Roman"/>
        </w:rPr>
        <w:t>8</w:t>
      </w:r>
      <w:r w:rsidRPr="00C13DA3">
        <w:rPr>
          <w:rFonts w:ascii="Times New Roman" w:hAnsi="Times New Roman"/>
        </w:rPr>
        <w:t xml:space="preserve">, the followings </w:t>
      </w:r>
      <w:r w:rsidR="007F6428" w:rsidRPr="00C13DA3">
        <w:rPr>
          <w:rFonts w:ascii="Times New Roman" w:hAnsi="Times New Roman"/>
        </w:rPr>
        <w:t>agreements were re</w:t>
      </w:r>
      <w:r w:rsidR="007F6428" w:rsidRPr="00E441CF">
        <w:rPr>
          <w:rFonts w:ascii="Times New Roman" w:hAnsi="Times New Roman"/>
        </w:rPr>
        <w:t>ached</w:t>
      </w:r>
      <w:r w:rsidR="00B01453" w:rsidRPr="00E441CF">
        <w:rPr>
          <w:rFonts w:ascii="Times New Roman" w:hAnsi="Times New Roman"/>
        </w:rPr>
        <w:t xml:space="preserve"> </w:t>
      </w:r>
      <w:r w:rsidR="000A0840">
        <w:rPr>
          <w:rFonts w:ascii="Times New Roman" w:hAnsi="Times New Roman"/>
          <w:highlight w:val="yellow"/>
        </w:rPr>
        <w:fldChar w:fldCharType="begin"/>
      </w:r>
      <w:r w:rsidR="000A0840">
        <w:rPr>
          <w:rFonts w:ascii="Times New Roman" w:hAnsi="Times New Roman"/>
        </w:rPr>
        <w:instrText xml:space="preserve"> REF _Ref20998833 \r \h </w:instrText>
      </w:r>
      <w:r w:rsidR="000A0840">
        <w:rPr>
          <w:rFonts w:ascii="Times New Roman" w:hAnsi="Times New Roman"/>
          <w:highlight w:val="yellow"/>
        </w:rPr>
      </w:r>
      <w:r w:rsidR="000A0840">
        <w:rPr>
          <w:rFonts w:ascii="Times New Roman" w:hAnsi="Times New Roman"/>
          <w:highlight w:val="yellow"/>
        </w:rPr>
        <w:fldChar w:fldCharType="separate"/>
      </w:r>
      <w:r w:rsidR="009D7443">
        <w:rPr>
          <w:rFonts w:ascii="Times New Roman" w:hAnsi="Times New Roman"/>
        </w:rPr>
        <w:t>[2]</w:t>
      </w:r>
      <w:r w:rsidR="000A0840">
        <w:rPr>
          <w:rFonts w:ascii="Times New Roman" w:hAnsi="Times New Roman"/>
          <w:highlight w:val="yellow"/>
        </w:rPr>
        <w:fldChar w:fldCharType="end"/>
      </w:r>
      <w:r w:rsidR="007F6428" w:rsidRPr="00E441CF">
        <w:rPr>
          <w:rFonts w:ascii="Times New Roman" w:hAnsi="Times New Roman"/>
        </w:rPr>
        <w:t>:</w:t>
      </w:r>
      <w:r w:rsidRPr="00C13DA3">
        <w:rPr>
          <w:rFonts w:ascii="Times New Roman" w:hAnsi="Times New Roman"/>
        </w:rPr>
        <w:t xml:space="preserve"> </w:t>
      </w:r>
    </w:p>
    <w:p w14:paraId="238420E7" w14:textId="77777777" w:rsidR="00627510" w:rsidRPr="00627510" w:rsidRDefault="00627510" w:rsidP="00EE5E13">
      <w:pPr>
        <w:ind w:left="2007" w:hanging="1440"/>
        <w:rPr>
          <w:b/>
          <w:lang w:eastAsia="zh-CN"/>
        </w:rPr>
      </w:pPr>
      <w:r w:rsidRPr="00627510">
        <w:rPr>
          <w:b/>
          <w:highlight w:val="green"/>
          <w:lang w:eastAsia="zh-CN"/>
        </w:rPr>
        <w:t>Agreement</w:t>
      </w:r>
    </w:p>
    <w:p w14:paraId="1EEF04E1" w14:textId="77777777" w:rsidR="00627510" w:rsidRPr="00F9185D" w:rsidRDefault="00627510" w:rsidP="00EE5E13">
      <w:pPr>
        <w:numPr>
          <w:ilvl w:val="0"/>
          <w:numId w:val="36"/>
        </w:numPr>
        <w:overflowPunct/>
        <w:autoSpaceDE/>
        <w:autoSpaceDN/>
        <w:adjustRightInd/>
        <w:spacing w:after="0"/>
        <w:ind w:left="1287"/>
        <w:textAlignment w:val="auto"/>
        <w:rPr>
          <w:lang w:eastAsia="zh-CN"/>
        </w:rPr>
      </w:pPr>
      <w:r w:rsidRPr="00F9185D">
        <w:rPr>
          <w:lang w:eastAsia="zh-CN"/>
        </w:rPr>
        <w:t>For nB&lt;T/2, M=10, N=0</w:t>
      </w:r>
    </w:p>
    <w:p w14:paraId="2D6FDEB3" w14:textId="77777777" w:rsidR="00627510" w:rsidRDefault="00627510" w:rsidP="00EE5E13">
      <w:pPr>
        <w:ind w:left="567"/>
        <w:rPr>
          <w:lang w:eastAsia="zh-CN"/>
        </w:rPr>
      </w:pPr>
    </w:p>
    <w:p w14:paraId="292F4F4B" w14:textId="7928CDE6" w:rsidR="00627510" w:rsidRPr="00973E97" w:rsidRDefault="00627510" w:rsidP="00EE5E13">
      <w:pPr>
        <w:ind w:left="567"/>
        <w:rPr>
          <w:lang w:eastAsia="zh-CN"/>
        </w:rPr>
      </w:pPr>
      <w:r w:rsidRPr="00973E97">
        <w:rPr>
          <w:lang w:eastAsia="zh-CN"/>
        </w:rPr>
        <w:t>The decimation factor (fraction of POs that have NRS) is:</w:t>
      </w:r>
    </w:p>
    <w:p w14:paraId="1701C119"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T/2: Decimation factor of 1/2</w:t>
      </w:r>
    </w:p>
    <w:p w14:paraId="39598F2F"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T: Decimation factor of 1/2</w:t>
      </w:r>
    </w:p>
    <w:p w14:paraId="3BD6D345"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2T: Decimation factor of 1/2</w:t>
      </w:r>
    </w:p>
    <w:p w14:paraId="3B73C5B3"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4T: Decimation factor of 1/2</w:t>
      </w:r>
    </w:p>
    <w:p w14:paraId="63743061" w14:textId="77777777" w:rsidR="00627510" w:rsidRDefault="00627510" w:rsidP="00627510">
      <w:pPr>
        <w:ind w:left="1440" w:hanging="1440"/>
        <w:rPr>
          <w:lang w:eastAsia="zh-CN"/>
        </w:rPr>
      </w:pPr>
    </w:p>
    <w:p w14:paraId="7B70D698" w14:textId="060DD423" w:rsidR="00627510" w:rsidRPr="00627510" w:rsidRDefault="00627510" w:rsidP="00627510">
      <w:pPr>
        <w:rPr>
          <w:lang w:eastAsia="zh-CN"/>
        </w:rPr>
      </w:pPr>
      <w:bookmarkStart w:id="1" w:name="_Hlk17981027"/>
      <w:r w:rsidRPr="00627510">
        <w:rPr>
          <w:lang w:eastAsia="zh-CN"/>
        </w:rPr>
        <w:t>The following action points are for discussion in RAN1#98bis</w:t>
      </w:r>
    </w:p>
    <w:p w14:paraId="32E591DC" w14:textId="77777777" w:rsidR="00627510" w:rsidRPr="00513A58" w:rsidRDefault="00627510" w:rsidP="00EE5E13">
      <w:pPr>
        <w:ind w:left="567"/>
        <w:rPr>
          <w:lang w:eastAsia="zh-CN"/>
        </w:rPr>
      </w:pPr>
      <w:r w:rsidRPr="00513A58">
        <w:rPr>
          <w:lang w:eastAsia="zh-CN"/>
        </w:rPr>
        <w:t xml:space="preserve">For </w:t>
      </w:r>
      <w:r>
        <w:rPr>
          <w:lang w:eastAsia="zh-CN"/>
        </w:rPr>
        <w:t>the cases where decimation is applied</w:t>
      </w:r>
      <w:r w:rsidRPr="00513A58">
        <w:rPr>
          <w:lang w:eastAsia="zh-CN"/>
        </w:rPr>
        <w:t>, the decimation pattern is based on the following formula:</w:t>
      </w:r>
    </w:p>
    <w:p w14:paraId="2C197C84"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R = (PO_Index+(X div T)) mod 2, where:</w:t>
      </w:r>
    </w:p>
    <w:p w14:paraId="68CA9464" w14:textId="77777777" w:rsidR="00627510" w:rsidRPr="00627510" w:rsidRDefault="00627510" w:rsidP="00EE5E13">
      <w:pPr>
        <w:pStyle w:val="ListParagraph"/>
        <w:numPr>
          <w:ilvl w:val="1"/>
          <w:numId w:val="20"/>
        </w:numPr>
        <w:overflowPunct/>
        <w:autoSpaceDE/>
        <w:autoSpaceDN/>
        <w:adjustRightInd/>
        <w:ind w:left="183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PO_Index is the index of the PO within one DRX cycle: PO_Index = (SFN/Ns * N + i_s) mod T</w:t>
      </w:r>
    </w:p>
    <w:p w14:paraId="3EABA243" w14:textId="77777777" w:rsidR="00627510" w:rsidRPr="00627510" w:rsidRDefault="00627510" w:rsidP="00EE5E13">
      <w:pPr>
        <w:pStyle w:val="ListParagraph"/>
        <w:numPr>
          <w:ilvl w:val="1"/>
          <w:numId w:val="20"/>
        </w:numPr>
        <w:overflowPunct/>
        <w:autoSpaceDE/>
        <w:autoSpaceDN/>
        <w:adjustRightInd/>
        <w:ind w:left="183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X = SFN + 1024 * H-SFN</w:t>
      </w:r>
    </w:p>
    <w:p w14:paraId="597CA753" w14:textId="77777777" w:rsidR="00627510" w:rsidRPr="00627510" w:rsidRDefault="00627510" w:rsidP="00EE5E13">
      <w:pPr>
        <w:pStyle w:val="ListParagraph"/>
        <w:numPr>
          <w:ilvl w:val="1"/>
          <w:numId w:val="20"/>
        </w:numPr>
        <w:overflowPunct/>
        <w:autoSpaceDE/>
        <w:autoSpaceDN/>
        <w:adjustRightInd/>
        <w:ind w:left="183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T is the DRX cycle measured in radio frames.</w:t>
      </w:r>
    </w:p>
    <w:p w14:paraId="1E2C03D4" w14:textId="77777777" w:rsidR="00627510" w:rsidRPr="00627510" w:rsidRDefault="00627510" w:rsidP="00EE5E13">
      <w:pPr>
        <w:pStyle w:val="ListParagraph"/>
        <w:numPr>
          <w:ilvl w:val="1"/>
          <w:numId w:val="20"/>
        </w:numPr>
        <w:overflowPunct/>
        <w:autoSpaceDE/>
        <w:autoSpaceDN/>
        <w:adjustRightInd/>
        <w:ind w:left="183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If R=1, the PO has NRS associated with it. If R=0 the PO does not have NRS associated with it.</w:t>
      </w:r>
    </w:p>
    <w:p w14:paraId="199BAC57" w14:textId="77777777" w:rsidR="00627510" w:rsidRPr="00627510" w:rsidRDefault="00627510" w:rsidP="00EE5E13">
      <w:pPr>
        <w:pStyle w:val="ListParagraph"/>
        <w:numPr>
          <w:ilvl w:val="0"/>
          <w:numId w:val="20"/>
        </w:numPr>
        <w:overflowPunct/>
        <w:autoSpaceDE/>
        <w:autoSpaceDN/>
        <w:adjustRightInd/>
        <w:ind w:left="1412"/>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FFS: How to capture the above in the specification</w:t>
      </w:r>
    </w:p>
    <w:bookmarkEnd w:id="1"/>
    <w:p w14:paraId="20E149D5" w14:textId="77777777" w:rsidR="00B8695D" w:rsidRDefault="00B8695D" w:rsidP="00CE0424">
      <w:pPr>
        <w:pStyle w:val="BodyText"/>
        <w:rPr>
          <w:rFonts w:ascii="Times New Roman" w:hAnsi="Times New Roman"/>
        </w:rPr>
      </w:pPr>
    </w:p>
    <w:p w14:paraId="176681A5" w14:textId="7AE334FE" w:rsidR="00E774CC" w:rsidRPr="00C13DA3" w:rsidRDefault="00E774CC" w:rsidP="00CE0424">
      <w:pPr>
        <w:pStyle w:val="BodyText"/>
        <w:rPr>
          <w:rFonts w:ascii="Times New Roman" w:hAnsi="Times New Roman"/>
        </w:rPr>
      </w:pPr>
      <w:r w:rsidRPr="00C13DA3">
        <w:rPr>
          <w:rFonts w:ascii="Times New Roman" w:hAnsi="Times New Roman"/>
        </w:rPr>
        <w:t xml:space="preserve">In this contribution </w:t>
      </w:r>
      <w:r w:rsidR="005B7FE3" w:rsidRPr="00C13DA3">
        <w:rPr>
          <w:rFonts w:ascii="Times New Roman" w:hAnsi="Times New Roman"/>
        </w:rPr>
        <w:t xml:space="preserve">we </w:t>
      </w:r>
      <w:r w:rsidR="006513A6" w:rsidRPr="00C13DA3">
        <w:rPr>
          <w:rFonts w:ascii="Times New Roman" w:hAnsi="Times New Roman"/>
        </w:rPr>
        <w:t xml:space="preserve">provide a follow-up on the </w:t>
      </w:r>
      <w:r w:rsidR="00B075DC">
        <w:rPr>
          <w:rFonts w:ascii="Times New Roman" w:hAnsi="Times New Roman"/>
        </w:rPr>
        <w:t xml:space="preserve">above agreements, including the </w:t>
      </w:r>
      <w:r w:rsidR="00CC5675">
        <w:rPr>
          <w:rFonts w:ascii="Times New Roman" w:hAnsi="Times New Roman"/>
        </w:rPr>
        <w:t>NRS decimation pattern</w:t>
      </w:r>
      <w:r w:rsidR="006513A6" w:rsidRPr="00C13DA3">
        <w:rPr>
          <w:rFonts w:ascii="Times New Roman" w:hAnsi="Times New Roman"/>
        </w:rPr>
        <w:t xml:space="preserve">, </w:t>
      </w:r>
      <w:bookmarkStart w:id="2" w:name="_Hlk3580583"/>
      <w:r w:rsidR="006513A6" w:rsidRPr="00C13DA3">
        <w:rPr>
          <w:rFonts w:ascii="Times New Roman" w:hAnsi="Times New Roman"/>
        </w:rPr>
        <w:t xml:space="preserve">the </w:t>
      </w:r>
      <w:bookmarkStart w:id="3" w:name="_Hlk3542529"/>
      <w:r w:rsidR="006513A6" w:rsidRPr="00C13DA3">
        <w:rPr>
          <w:rFonts w:ascii="Times New Roman" w:hAnsi="Times New Roman"/>
        </w:rPr>
        <w:t xml:space="preserve">number of subframes containing NRS prior/within a </w:t>
      </w:r>
      <w:r w:rsidR="002D4F75" w:rsidRPr="00C13DA3">
        <w:rPr>
          <w:rFonts w:ascii="Times New Roman" w:hAnsi="Times New Roman"/>
        </w:rPr>
        <w:t>Paging Occasion (</w:t>
      </w:r>
      <w:r w:rsidR="006513A6" w:rsidRPr="00C13DA3">
        <w:rPr>
          <w:rFonts w:ascii="Times New Roman" w:hAnsi="Times New Roman"/>
        </w:rPr>
        <w:t>PO</w:t>
      </w:r>
      <w:r w:rsidR="002D4F75" w:rsidRPr="00C13DA3">
        <w:rPr>
          <w:rFonts w:ascii="Times New Roman" w:hAnsi="Times New Roman"/>
        </w:rPr>
        <w:t>)</w:t>
      </w:r>
      <w:bookmarkEnd w:id="2"/>
      <w:bookmarkEnd w:id="3"/>
      <w:r w:rsidR="00230EC1">
        <w:rPr>
          <w:rFonts w:ascii="Times New Roman" w:hAnsi="Times New Roman"/>
        </w:rPr>
        <w:t>, and a view on “</w:t>
      </w:r>
      <w:r w:rsidR="00230EC1" w:rsidRPr="00230EC1">
        <w:rPr>
          <w:rFonts w:ascii="Times New Roman" w:hAnsi="Times New Roman"/>
          <w:i/>
        </w:rPr>
        <w:t>consider enabling presence of CRS in non-anchor carriers in subframes not containing NRS</w:t>
      </w:r>
      <w:r w:rsidR="00230EC1">
        <w:rPr>
          <w:rFonts w:ascii="Times New Roman" w:hAnsi="Times New Roman"/>
        </w:rPr>
        <w:t>”</w:t>
      </w:r>
      <w:r w:rsidRPr="00C13DA3">
        <w:rPr>
          <w:rFonts w:ascii="Times New Roman" w:hAnsi="Times New Roman"/>
          <w:bCs/>
        </w:rPr>
        <w:t xml:space="preserve">. </w:t>
      </w:r>
    </w:p>
    <w:p w14:paraId="020415C4" w14:textId="3525686C" w:rsidR="004000E8" w:rsidRDefault="00291FC9" w:rsidP="00DC0667">
      <w:pPr>
        <w:pStyle w:val="Heading1"/>
        <w:numPr>
          <w:ilvl w:val="0"/>
          <w:numId w:val="14"/>
        </w:numPr>
      </w:pPr>
      <w:r w:rsidRPr="00291FC9">
        <w:t>Presence of NRS on a non-anchor carrier for paging in NB-IoT</w:t>
      </w:r>
    </w:p>
    <w:p w14:paraId="1C4B3F80" w14:textId="52D32609" w:rsidR="0073412A" w:rsidRPr="00170DCB" w:rsidRDefault="0082685A" w:rsidP="00170DCB">
      <w:pPr>
        <w:pStyle w:val="BodyText"/>
        <w:rPr>
          <w:rFonts w:ascii="Times New Roman" w:hAnsi="Times New Roman"/>
        </w:rPr>
      </w:pPr>
      <w:r w:rsidRPr="00C13DA3">
        <w:rPr>
          <w:rFonts w:ascii="Times New Roman" w:hAnsi="Times New Roman"/>
        </w:rPr>
        <w:t xml:space="preserve">In RAN1 #96, it was </w:t>
      </w:r>
      <w:r w:rsidR="00070B51">
        <w:rPr>
          <w:rFonts w:ascii="Times New Roman" w:hAnsi="Times New Roman"/>
        </w:rPr>
        <w:t>concluded that “</w:t>
      </w:r>
      <w:r w:rsidR="00070B51" w:rsidRPr="00070B51">
        <w:rPr>
          <w:rFonts w:ascii="Times New Roman" w:hAnsi="Times New Roman"/>
          <w:i/>
        </w:rPr>
        <w:t xml:space="preserve">There is no consensus in RAN1 to support configuration of NRS for WUS early </w:t>
      </w:r>
      <w:r w:rsidR="00070B51" w:rsidRPr="00E441CF">
        <w:rPr>
          <w:rFonts w:ascii="Times New Roman" w:hAnsi="Times New Roman"/>
          <w:i/>
        </w:rPr>
        <w:t>termination in Rel-16</w:t>
      </w:r>
      <w:r w:rsidR="00070B51" w:rsidRPr="00E441CF">
        <w:rPr>
          <w:rFonts w:ascii="Times New Roman" w:hAnsi="Times New Roman"/>
        </w:rPr>
        <w:t>”</w:t>
      </w:r>
      <w:r w:rsidR="00961733">
        <w:rPr>
          <w:rFonts w:ascii="Times New Roman" w:hAnsi="Times New Roman"/>
          <w:lang w:val="en-US"/>
        </w:rPr>
        <w:t xml:space="preserve"> </w:t>
      </w:r>
      <w:r w:rsidR="00961733">
        <w:rPr>
          <w:rFonts w:ascii="Times New Roman" w:hAnsi="Times New Roman"/>
          <w:lang w:val="en-US"/>
        </w:rPr>
        <w:fldChar w:fldCharType="begin"/>
      </w:r>
      <w:r w:rsidR="00961733">
        <w:rPr>
          <w:rFonts w:ascii="Times New Roman" w:hAnsi="Times New Roman"/>
          <w:lang w:val="en-US"/>
        </w:rPr>
        <w:instrText xml:space="preserve"> REF _Ref20998908 \r \h </w:instrText>
      </w:r>
      <w:r w:rsidR="00961733">
        <w:rPr>
          <w:rFonts w:ascii="Times New Roman" w:hAnsi="Times New Roman"/>
          <w:lang w:val="en-US"/>
        </w:rPr>
      </w:r>
      <w:r w:rsidR="00961733">
        <w:rPr>
          <w:rFonts w:ascii="Times New Roman" w:hAnsi="Times New Roman"/>
          <w:lang w:val="en-US"/>
        </w:rPr>
        <w:fldChar w:fldCharType="separate"/>
      </w:r>
      <w:r w:rsidR="009D7443">
        <w:rPr>
          <w:rFonts w:ascii="Times New Roman" w:hAnsi="Times New Roman"/>
          <w:lang w:val="en-US"/>
        </w:rPr>
        <w:t>[3]</w:t>
      </w:r>
      <w:r w:rsidR="00961733">
        <w:rPr>
          <w:rFonts w:ascii="Times New Roman" w:hAnsi="Times New Roman"/>
          <w:lang w:val="en-US"/>
        </w:rPr>
        <w:fldChar w:fldCharType="end"/>
      </w:r>
      <w:r w:rsidR="00070B51" w:rsidRPr="00E441CF">
        <w:rPr>
          <w:rFonts w:ascii="Times New Roman" w:hAnsi="Times New Roman"/>
        </w:rPr>
        <w:t>.</w:t>
      </w:r>
      <w:r w:rsidR="00D56DCB" w:rsidRPr="00E441CF">
        <w:rPr>
          <w:rFonts w:ascii="Times New Roman" w:hAnsi="Times New Roman"/>
        </w:rPr>
        <w:t xml:space="preserve"> </w:t>
      </w:r>
      <w:bookmarkStart w:id="4" w:name="_Hlk3580275"/>
      <w:r w:rsidR="0073412A">
        <w:rPr>
          <w:rFonts w:ascii="Times New Roman" w:hAnsi="Times New Roman"/>
        </w:rPr>
        <w:t xml:space="preserve">Therefore, we focus on the discussion of </w:t>
      </w:r>
      <w:r w:rsidR="0073412A" w:rsidRPr="00170DCB">
        <w:rPr>
          <w:rFonts w:ascii="Times New Roman" w:hAnsi="Times New Roman"/>
        </w:rPr>
        <w:t xml:space="preserve">having a number of subframes containing NRS </w:t>
      </w:r>
      <w:r w:rsidR="0073412A" w:rsidRPr="00170DCB">
        <w:rPr>
          <w:rFonts w:ascii="Times New Roman" w:hAnsi="Times New Roman"/>
        </w:rPr>
        <w:lastRenderedPageBreak/>
        <w:t xml:space="preserve">prior/within the NPDCCH search space of a </w:t>
      </w:r>
      <w:r w:rsidR="0073412A" w:rsidRPr="00C13DA3">
        <w:rPr>
          <w:rFonts w:ascii="Times New Roman" w:hAnsi="Times New Roman"/>
        </w:rPr>
        <w:t>Paging Occasion</w:t>
      </w:r>
      <w:r w:rsidR="0073412A" w:rsidRPr="00170DCB">
        <w:rPr>
          <w:rFonts w:ascii="Times New Roman" w:hAnsi="Times New Roman"/>
        </w:rPr>
        <w:t xml:space="preserve"> </w:t>
      </w:r>
      <w:r w:rsidR="0073412A">
        <w:rPr>
          <w:rFonts w:ascii="Times New Roman" w:hAnsi="Times New Roman"/>
        </w:rPr>
        <w:t>(</w:t>
      </w:r>
      <w:r w:rsidR="0073412A" w:rsidRPr="00170DCB">
        <w:rPr>
          <w:rFonts w:ascii="Times New Roman" w:hAnsi="Times New Roman"/>
        </w:rPr>
        <w:t>PO</w:t>
      </w:r>
      <w:r w:rsidR="0073412A">
        <w:rPr>
          <w:rFonts w:ascii="Times New Roman" w:hAnsi="Times New Roman"/>
        </w:rPr>
        <w:t xml:space="preserve">) to enable early termination of DCI monitoring for paging. </w:t>
      </w:r>
      <w:bookmarkEnd w:id="4"/>
    </w:p>
    <w:p w14:paraId="09BDE990" w14:textId="01A60155" w:rsidR="00682291" w:rsidRPr="00C13DA3" w:rsidRDefault="00291FC9" w:rsidP="00682291">
      <w:pPr>
        <w:pStyle w:val="BodyText"/>
        <w:rPr>
          <w:rFonts w:ascii="Times New Roman" w:hAnsi="Times New Roman"/>
        </w:rPr>
      </w:pPr>
      <w:r w:rsidRPr="00C13DA3">
        <w:rPr>
          <w:rFonts w:ascii="Times New Roman" w:hAnsi="Times New Roman"/>
        </w:rPr>
        <w:t>In RAN1 #9</w:t>
      </w:r>
      <w:r w:rsidR="008166B6" w:rsidRPr="00C13DA3">
        <w:rPr>
          <w:rFonts w:ascii="Times New Roman" w:hAnsi="Times New Roman"/>
        </w:rPr>
        <w:t>5</w:t>
      </w:r>
      <w:r w:rsidRPr="00C13DA3">
        <w:rPr>
          <w:rFonts w:ascii="Times New Roman" w:hAnsi="Times New Roman"/>
        </w:rPr>
        <w:t xml:space="preserve">, </w:t>
      </w:r>
      <w:r w:rsidR="00682291" w:rsidRPr="00C13DA3">
        <w:rPr>
          <w:rFonts w:ascii="Times New Roman" w:hAnsi="Times New Roman"/>
        </w:rPr>
        <w:t xml:space="preserve">it was </w:t>
      </w:r>
      <w:r w:rsidR="008166B6" w:rsidRPr="00C13DA3">
        <w:rPr>
          <w:rFonts w:ascii="Times New Roman" w:hAnsi="Times New Roman"/>
        </w:rPr>
        <w:t>agreed that</w:t>
      </w:r>
      <w:r w:rsidR="00682291" w:rsidRPr="00C13DA3">
        <w:rPr>
          <w:rFonts w:ascii="Times New Roman" w:hAnsi="Times New Roman"/>
        </w:rPr>
        <w:t xml:space="preserve"> the number of subframes that should contain NRS prior/within a</w:t>
      </w:r>
      <w:r w:rsidR="0073412A">
        <w:rPr>
          <w:rFonts w:ascii="Times New Roman" w:hAnsi="Times New Roman"/>
        </w:rPr>
        <w:t xml:space="preserve"> </w:t>
      </w:r>
      <w:r w:rsidR="00682291" w:rsidRPr="00C13DA3">
        <w:rPr>
          <w:rFonts w:ascii="Times New Roman" w:hAnsi="Times New Roman"/>
        </w:rPr>
        <w:t>PO</w:t>
      </w:r>
      <w:r w:rsidR="0073412A">
        <w:rPr>
          <w:rFonts w:ascii="Times New Roman" w:hAnsi="Times New Roman"/>
        </w:rPr>
        <w:t xml:space="preserve"> </w:t>
      </w:r>
      <w:r w:rsidR="008166B6" w:rsidRPr="00C13DA3">
        <w:rPr>
          <w:rFonts w:ascii="Times New Roman" w:hAnsi="Times New Roman"/>
        </w:rPr>
        <w:t>depend</w:t>
      </w:r>
      <w:r w:rsidR="0073412A">
        <w:rPr>
          <w:rFonts w:ascii="Times New Roman" w:hAnsi="Times New Roman"/>
        </w:rPr>
        <w:t>s</w:t>
      </w:r>
      <w:r w:rsidR="008166B6" w:rsidRPr="00C13DA3">
        <w:rPr>
          <w:rFonts w:ascii="Times New Roman" w:hAnsi="Times New Roman"/>
        </w:rPr>
        <w:t xml:space="preserve"> on</w:t>
      </w:r>
      <w:r w:rsidR="00682291" w:rsidRPr="00C13DA3">
        <w:rPr>
          <w:rFonts w:ascii="Times New Roman" w:hAnsi="Times New Roman"/>
        </w:rPr>
        <w:t xml:space="preserve"> “M” and </w:t>
      </w:r>
      <w:r w:rsidR="0073412A">
        <w:rPr>
          <w:rFonts w:ascii="Times New Roman" w:hAnsi="Times New Roman"/>
        </w:rPr>
        <w:t>“</w:t>
      </w:r>
      <w:r w:rsidR="00682291" w:rsidRPr="00C13DA3">
        <w:rPr>
          <w:rFonts w:ascii="Times New Roman" w:hAnsi="Times New Roman"/>
        </w:rPr>
        <w:t>N”, where:</w:t>
      </w:r>
    </w:p>
    <w:p w14:paraId="55B5DEED" w14:textId="35438DA5" w:rsidR="00682291" w:rsidRPr="00C13DA3" w:rsidRDefault="00682291" w:rsidP="00DC0667">
      <w:pPr>
        <w:pStyle w:val="BodyText"/>
        <w:numPr>
          <w:ilvl w:val="0"/>
          <w:numId w:val="13"/>
        </w:numPr>
        <w:rPr>
          <w:rFonts w:ascii="Times New Roman" w:hAnsi="Times New Roman"/>
        </w:rPr>
      </w:pPr>
      <w:r w:rsidRPr="00C13DA3">
        <w:rPr>
          <w:rFonts w:ascii="Times New Roman" w:hAnsi="Times New Roman"/>
        </w:rPr>
        <w:t xml:space="preserve">"M" is the potential </w:t>
      </w:r>
      <w:r w:rsidR="008166B6" w:rsidRPr="00C13DA3">
        <w:rPr>
          <w:rFonts w:ascii="Times New Roman" w:hAnsi="Times New Roman"/>
        </w:rPr>
        <w:t>number</w:t>
      </w:r>
      <w:r w:rsidRPr="00C13DA3">
        <w:rPr>
          <w:rFonts w:ascii="Times New Roman" w:hAnsi="Times New Roman"/>
        </w:rPr>
        <w:t xml:space="preserve"> of subframes containing NRS before the PO, and </w:t>
      </w:r>
    </w:p>
    <w:p w14:paraId="318868D1" w14:textId="5DD8AFBA" w:rsidR="00291FC9" w:rsidRPr="00C13DA3" w:rsidRDefault="00682291" w:rsidP="00DC0667">
      <w:pPr>
        <w:pStyle w:val="BodyText"/>
        <w:numPr>
          <w:ilvl w:val="0"/>
          <w:numId w:val="13"/>
        </w:numPr>
        <w:rPr>
          <w:rFonts w:ascii="Times New Roman" w:hAnsi="Times New Roman"/>
        </w:rPr>
      </w:pPr>
      <w:r w:rsidRPr="00C13DA3">
        <w:rPr>
          <w:rFonts w:ascii="Times New Roman" w:hAnsi="Times New Roman"/>
        </w:rPr>
        <w:t>"N" the</w:t>
      </w:r>
      <w:r w:rsidR="008166B6" w:rsidRPr="00C13DA3">
        <w:rPr>
          <w:rFonts w:ascii="Times New Roman" w:hAnsi="Times New Roman"/>
        </w:rPr>
        <w:t xml:space="preserve"> potential number</w:t>
      </w:r>
      <w:r w:rsidRPr="00C13DA3">
        <w:rPr>
          <w:rFonts w:ascii="Times New Roman" w:hAnsi="Times New Roman"/>
        </w:rPr>
        <w:t xml:space="preserve"> of subframes containing NRS within the NPDCCH search space</w:t>
      </w:r>
      <w:r w:rsidR="008166B6" w:rsidRPr="00C13DA3">
        <w:rPr>
          <w:rFonts w:ascii="Times New Roman" w:hAnsi="Times New Roman"/>
        </w:rPr>
        <w:t>.</w:t>
      </w:r>
    </w:p>
    <w:p w14:paraId="7311BCB8" w14:textId="028385CF" w:rsidR="00682291" w:rsidRPr="00C13DA3" w:rsidRDefault="00682291" w:rsidP="00682291">
      <w:pPr>
        <w:pStyle w:val="BodyText"/>
        <w:rPr>
          <w:rFonts w:ascii="Times New Roman" w:hAnsi="Times New Roman"/>
        </w:rPr>
      </w:pPr>
      <w:r w:rsidRPr="00C13DA3">
        <w:rPr>
          <w:rFonts w:ascii="Times New Roman" w:hAnsi="Times New Roman"/>
        </w:rPr>
        <w:t>The design guideline</w:t>
      </w:r>
      <w:r w:rsidR="008166B6" w:rsidRPr="00C13DA3">
        <w:rPr>
          <w:rFonts w:ascii="Times New Roman" w:hAnsi="Times New Roman"/>
        </w:rPr>
        <w:t xml:space="preserve"> was given by the following agreement:</w:t>
      </w:r>
    </w:p>
    <w:p w14:paraId="2F07B0DB" w14:textId="23090838" w:rsidR="008166B6" w:rsidRPr="00C13DA3" w:rsidRDefault="008166B6" w:rsidP="008166B6">
      <w:pPr>
        <w:overflowPunct/>
        <w:autoSpaceDE/>
        <w:autoSpaceDN/>
        <w:adjustRightInd/>
        <w:spacing w:after="0"/>
        <w:textAlignment w:val="auto"/>
      </w:pPr>
      <w:r w:rsidRPr="00C13DA3">
        <w:t>“</w:t>
      </w:r>
      <w:r w:rsidRPr="00C13DA3">
        <w:rPr>
          <w:i/>
        </w:rPr>
        <w:t>NRS is present in the first M subframes out of the 10 NB-IoT DL subframes before the PO, and the N first NB-IoT DL subframes of NPDCCH search space</w:t>
      </w:r>
      <w:r w:rsidRPr="00C13DA3">
        <w:t>”</w:t>
      </w:r>
    </w:p>
    <w:p w14:paraId="2C8CFED9" w14:textId="77777777" w:rsidR="008166B6" w:rsidRPr="00C13DA3" w:rsidRDefault="008166B6" w:rsidP="008166B6">
      <w:pPr>
        <w:overflowPunct/>
        <w:autoSpaceDE/>
        <w:autoSpaceDN/>
        <w:adjustRightInd/>
        <w:spacing w:after="0"/>
        <w:textAlignment w:val="auto"/>
        <w:rPr>
          <w:i/>
        </w:rPr>
      </w:pPr>
    </w:p>
    <w:p w14:paraId="66827D98" w14:textId="77C1B852" w:rsidR="00E81778" w:rsidRDefault="00E81778" w:rsidP="00682291">
      <w:pPr>
        <w:pStyle w:val="BodyText"/>
        <w:rPr>
          <w:rFonts w:ascii="Times New Roman" w:hAnsi="Times New Roman"/>
        </w:rPr>
      </w:pPr>
      <w:r>
        <w:rPr>
          <w:rFonts w:ascii="Times New Roman" w:hAnsi="Times New Roman"/>
        </w:rPr>
        <w:t>The exact values that “M” and “N” can take are still under discussion</w:t>
      </w:r>
      <w:r w:rsidR="005C17E6">
        <w:rPr>
          <w:rFonts w:ascii="Times New Roman" w:hAnsi="Times New Roman"/>
        </w:rPr>
        <w:t xml:space="preserve"> for the case of </w:t>
      </w:r>
      <w:r w:rsidR="006F1279" w:rsidRPr="006F1279">
        <w:rPr>
          <w:rFonts w:ascii="Times New Roman" w:hAnsi="Times New Roman"/>
        </w:rPr>
        <w:t>nB</w:t>
      </w:r>
      <w:r w:rsidR="006F1279">
        <w:rPr>
          <w:rFonts w:ascii="Times New Roman" w:hAnsi="Times New Roman"/>
        </w:rPr>
        <w:t>&gt;=</w:t>
      </w:r>
      <w:r w:rsidR="006F1279" w:rsidRPr="006F1279">
        <w:rPr>
          <w:rFonts w:ascii="Times New Roman" w:hAnsi="Times New Roman"/>
        </w:rPr>
        <w:t>T/2</w:t>
      </w:r>
      <w:r>
        <w:rPr>
          <w:rFonts w:ascii="Times New Roman" w:hAnsi="Times New Roman"/>
        </w:rPr>
        <w:t>, since</w:t>
      </w:r>
      <w:r w:rsidR="00BB26DA">
        <w:rPr>
          <w:rFonts w:ascii="Times New Roman" w:hAnsi="Times New Roman"/>
        </w:rPr>
        <w:t xml:space="preserve"> as it will </w:t>
      </w:r>
      <w:r w:rsidR="00740695">
        <w:rPr>
          <w:rFonts w:ascii="Times New Roman" w:hAnsi="Times New Roman"/>
        </w:rPr>
        <w:t xml:space="preserve">be </w:t>
      </w:r>
      <w:r w:rsidR="00BB26DA">
        <w:rPr>
          <w:rFonts w:ascii="Times New Roman" w:hAnsi="Times New Roman"/>
        </w:rPr>
        <w:t>explained in the next subsection, the</w:t>
      </w:r>
      <w:r>
        <w:rPr>
          <w:rFonts w:ascii="Times New Roman" w:hAnsi="Times New Roman"/>
        </w:rPr>
        <w:t xml:space="preserve"> </w:t>
      </w:r>
      <w:r w:rsidR="00BB26DA">
        <w:rPr>
          <w:rFonts w:ascii="Times New Roman" w:hAnsi="Times New Roman"/>
        </w:rPr>
        <w:t>total number of subframes containing NRS will depend on the density of POs within a DRX</w:t>
      </w:r>
      <w:r w:rsidR="00320B60">
        <w:rPr>
          <w:rFonts w:ascii="Times New Roman" w:hAnsi="Times New Roman"/>
        </w:rPr>
        <w:t xml:space="preserve"> cycle</w:t>
      </w:r>
      <w:r w:rsidR="00BB26DA">
        <w:rPr>
          <w:rFonts w:ascii="Times New Roman" w:hAnsi="Times New Roman"/>
        </w:rPr>
        <w:t>.</w:t>
      </w:r>
    </w:p>
    <w:p w14:paraId="3FB01F2F" w14:textId="1C207CBE" w:rsidR="00BB26DA" w:rsidRDefault="00320B60" w:rsidP="00DC0667">
      <w:pPr>
        <w:pStyle w:val="Heading2"/>
        <w:numPr>
          <w:ilvl w:val="1"/>
          <w:numId w:val="14"/>
        </w:numPr>
      </w:pPr>
      <w:r>
        <w:t>Density of POs within a DRX cycle</w:t>
      </w:r>
    </w:p>
    <w:p w14:paraId="6F874A6A" w14:textId="527F1411" w:rsidR="004A342C" w:rsidRDefault="004A342C" w:rsidP="004A342C">
      <w:r>
        <w:t xml:space="preserve">For determining the number of subframes </w:t>
      </w:r>
      <w:r w:rsidR="00B44FE4">
        <w:t xml:space="preserve">containing NRS, RAN1 has </w:t>
      </w:r>
      <w:r w:rsidR="002E3684">
        <w:t xml:space="preserve">the following agreements </w:t>
      </w:r>
      <w:r w:rsidR="0073412A">
        <w:t>concerning</w:t>
      </w:r>
      <w:r w:rsidR="002E3684">
        <w:t xml:space="preserve"> </w:t>
      </w:r>
      <w:r w:rsidR="00327BFD">
        <w:t xml:space="preserve">to </w:t>
      </w:r>
      <w:r w:rsidR="002E3684">
        <w:t>two scenarios</w:t>
      </w:r>
      <w:r w:rsidR="00903AB4">
        <w:t>:</w:t>
      </w:r>
    </w:p>
    <w:tbl>
      <w:tblPr>
        <w:tblStyle w:val="TableGrid"/>
        <w:tblW w:w="0" w:type="auto"/>
        <w:tblLook w:val="04A0" w:firstRow="1" w:lastRow="0" w:firstColumn="1" w:lastColumn="0" w:noHBand="0" w:noVBand="1"/>
      </w:tblPr>
      <w:tblGrid>
        <w:gridCol w:w="9629"/>
      </w:tblGrid>
      <w:tr w:rsidR="00903AB4" w14:paraId="44A944CF" w14:textId="77777777" w:rsidTr="00903AB4">
        <w:tc>
          <w:tcPr>
            <w:tcW w:w="9629" w:type="dxa"/>
          </w:tcPr>
          <w:p w14:paraId="62320C45" w14:textId="77777777" w:rsidR="00903AB4" w:rsidRPr="002B3287" w:rsidRDefault="00903AB4" w:rsidP="00903AB4">
            <w:pPr>
              <w:overflowPunct/>
              <w:autoSpaceDE/>
              <w:autoSpaceDN/>
              <w:adjustRightInd/>
              <w:spacing w:after="0"/>
              <w:textAlignment w:val="auto"/>
              <w:rPr>
                <w:b/>
                <w:bCs/>
                <w:color w:val="000000"/>
                <w:sz w:val="16"/>
                <w:highlight w:val="green"/>
                <w:lang w:eastAsia="en-US"/>
              </w:rPr>
            </w:pPr>
            <w:r w:rsidRPr="002B3287">
              <w:rPr>
                <w:b/>
                <w:bCs/>
                <w:color w:val="000000"/>
                <w:sz w:val="16"/>
                <w:highlight w:val="green"/>
                <w:lang w:eastAsia="en-US"/>
              </w:rPr>
              <w:t>Agreement</w:t>
            </w:r>
          </w:p>
          <w:p w14:paraId="350D8E54" w14:textId="77777777" w:rsidR="00903AB4" w:rsidRPr="002B3287" w:rsidRDefault="00903AB4" w:rsidP="00903AB4">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With regards to the RAN1#96bis agreement:</w:t>
            </w:r>
          </w:p>
          <w:p w14:paraId="641A0F7E" w14:textId="77777777" w:rsidR="00903AB4" w:rsidRPr="002B3287" w:rsidRDefault="00903AB4"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If nB &gt;= X, specify the decimation pattern/M/N for each nB.</w:t>
            </w:r>
          </w:p>
          <w:p w14:paraId="56D152F4" w14:textId="77777777" w:rsidR="00903AB4" w:rsidRPr="002B3287" w:rsidRDefault="00903AB4" w:rsidP="00DC0667">
            <w:pPr>
              <w:numPr>
                <w:ilvl w:val="1"/>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FFS if the value of M/N is different for different POs within a DRX cycle</w:t>
            </w:r>
          </w:p>
          <w:p w14:paraId="37682FFC" w14:textId="77777777" w:rsidR="00903AB4" w:rsidRPr="002B3287" w:rsidRDefault="00903AB4"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For nB &lt; X, all POs have NRS. FFS value of M/N.</w:t>
            </w:r>
          </w:p>
          <w:p w14:paraId="3305AC1E" w14:textId="77777777" w:rsidR="00903AB4" w:rsidRDefault="00903AB4" w:rsidP="00903AB4">
            <w:pPr>
              <w:overflowPunct/>
              <w:autoSpaceDE/>
              <w:autoSpaceDN/>
              <w:adjustRightInd/>
              <w:spacing w:after="0"/>
              <w:textAlignment w:val="auto"/>
              <w:rPr>
                <w:rFonts w:ascii="Times" w:eastAsia="Batang" w:hAnsi="Times"/>
                <w:sz w:val="16"/>
                <w:szCs w:val="24"/>
                <w:highlight w:val="green"/>
                <w:lang w:eastAsia="en-US"/>
              </w:rPr>
            </w:pPr>
          </w:p>
          <w:p w14:paraId="0E3CF38B" w14:textId="77777777" w:rsidR="00903AB4" w:rsidRDefault="00903AB4" w:rsidP="004E18CA">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highlight w:val="green"/>
                <w:lang w:eastAsia="en-US"/>
              </w:rPr>
              <w:t>It is agreed that the value of X is T/2.</w:t>
            </w:r>
          </w:p>
          <w:p w14:paraId="6E384F42" w14:textId="5E24E110" w:rsidR="00B0524D" w:rsidRDefault="00B0524D" w:rsidP="004E18CA">
            <w:pPr>
              <w:overflowPunct/>
              <w:autoSpaceDE/>
              <w:autoSpaceDN/>
              <w:adjustRightInd/>
              <w:spacing w:after="0"/>
              <w:textAlignment w:val="auto"/>
              <w:rPr>
                <w:rFonts w:ascii="Times" w:eastAsia="Batang" w:hAnsi="Times"/>
                <w:sz w:val="16"/>
                <w:szCs w:val="24"/>
                <w:lang w:eastAsia="en-US"/>
              </w:rPr>
            </w:pPr>
          </w:p>
          <w:p w14:paraId="171978F6" w14:textId="16C2CA87" w:rsidR="00B0524D" w:rsidRPr="00B0524D" w:rsidRDefault="00B0524D" w:rsidP="00B0524D">
            <w:pPr>
              <w:overflowPunct/>
              <w:autoSpaceDE/>
              <w:autoSpaceDN/>
              <w:adjustRightInd/>
              <w:spacing w:after="0"/>
              <w:textAlignment w:val="auto"/>
              <w:rPr>
                <w:rFonts w:ascii="Times" w:eastAsia="Batang" w:hAnsi="Times"/>
                <w:sz w:val="16"/>
                <w:szCs w:val="24"/>
                <w:lang w:eastAsia="en-US"/>
              </w:rPr>
            </w:pPr>
            <w:r w:rsidRPr="00B0524D">
              <w:rPr>
                <w:rFonts w:ascii="Times" w:eastAsia="Batang" w:hAnsi="Times"/>
                <w:sz w:val="16"/>
                <w:szCs w:val="24"/>
                <w:lang w:eastAsia="en-US"/>
              </w:rPr>
              <w:t xml:space="preserve">In RAN1#98, the followings agreements were reached: </w:t>
            </w:r>
          </w:p>
          <w:p w14:paraId="47423069" w14:textId="77777777" w:rsidR="00B0524D" w:rsidRPr="00B0524D" w:rsidRDefault="00B0524D" w:rsidP="00B0524D">
            <w:pPr>
              <w:overflowPunct/>
              <w:autoSpaceDE/>
              <w:autoSpaceDN/>
              <w:adjustRightInd/>
              <w:spacing w:after="0"/>
              <w:textAlignment w:val="auto"/>
              <w:rPr>
                <w:b/>
                <w:bCs/>
                <w:color w:val="000000"/>
                <w:sz w:val="16"/>
                <w:highlight w:val="green"/>
                <w:lang w:eastAsia="en-US"/>
              </w:rPr>
            </w:pPr>
            <w:r w:rsidRPr="00B0524D">
              <w:rPr>
                <w:b/>
                <w:bCs/>
                <w:color w:val="000000"/>
                <w:sz w:val="16"/>
                <w:highlight w:val="green"/>
                <w:lang w:eastAsia="en-US"/>
              </w:rPr>
              <w:t>Agreement</w:t>
            </w:r>
          </w:p>
          <w:p w14:paraId="47DB1A19" w14:textId="51480B14" w:rsidR="00B0524D" w:rsidRDefault="00B0524D" w:rsidP="00B0524D">
            <w:pPr>
              <w:overflowPunct/>
              <w:autoSpaceDE/>
              <w:autoSpaceDN/>
              <w:adjustRightInd/>
              <w:spacing w:after="0"/>
              <w:textAlignment w:val="auto"/>
              <w:rPr>
                <w:rFonts w:ascii="Times" w:eastAsia="Batang" w:hAnsi="Times"/>
                <w:sz w:val="16"/>
                <w:szCs w:val="24"/>
                <w:lang w:eastAsia="en-US"/>
              </w:rPr>
            </w:pPr>
            <w:r w:rsidRPr="00B0524D">
              <w:rPr>
                <w:rFonts w:ascii="Times" w:eastAsia="Batang" w:hAnsi="Times"/>
                <w:sz w:val="16"/>
                <w:szCs w:val="24"/>
                <w:lang w:eastAsia="en-US"/>
              </w:rPr>
              <w:t>-</w:t>
            </w:r>
            <w:r w:rsidRPr="00B0524D">
              <w:rPr>
                <w:rFonts w:ascii="Times" w:eastAsia="Batang" w:hAnsi="Times"/>
                <w:sz w:val="16"/>
                <w:szCs w:val="24"/>
                <w:lang w:eastAsia="en-US"/>
              </w:rPr>
              <w:tab/>
              <w:t>For nB&lt;T/2, M=10, N=0</w:t>
            </w:r>
          </w:p>
          <w:p w14:paraId="5C1249E2" w14:textId="5357E6A6" w:rsidR="00B0524D" w:rsidRPr="00B0524D" w:rsidRDefault="00B0524D" w:rsidP="004E18CA">
            <w:pPr>
              <w:overflowPunct/>
              <w:autoSpaceDE/>
              <w:autoSpaceDN/>
              <w:adjustRightInd/>
              <w:spacing w:after="0"/>
              <w:textAlignment w:val="auto"/>
              <w:rPr>
                <w:rFonts w:ascii="Times" w:eastAsia="Batang" w:hAnsi="Times"/>
                <w:sz w:val="16"/>
                <w:szCs w:val="24"/>
                <w:lang w:val="en-US" w:eastAsia="en-US"/>
              </w:rPr>
            </w:pPr>
          </w:p>
        </w:tc>
      </w:tr>
    </w:tbl>
    <w:p w14:paraId="477D3749" w14:textId="022E65A5" w:rsidR="00903AB4" w:rsidRDefault="00903AB4" w:rsidP="004A342C"/>
    <w:p w14:paraId="0628E899" w14:textId="7031BF24" w:rsidR="00C752E2" w:rsidRPr="00C752E2" w:rsidRDefault="0073412A" w:rsidP="00C752E2">
      <w:r>
        <w:t>R</w:t>
      </w:r>
      <w:r w:rsidR="002E3684">
        <w:t>ecall that “</w:t>
      </w:r>
      <w:r w:rsidR="002E3684">
        <w:rPr>
          <w:rFonts w:ascii="Times" w:eastAsia="Malgun Gothic" w:hAnsi="Times"/>
          <w:i/>
          <w:iCs/>
          <w:color w:val="000000" w:themeColor="text1"/>
          <w:kern w:val="24"/>
        </w:rPr>
        <w:t>nB</w:t>
      </w:r>
      <w:r w:rsidR="002E3684">
        <w:t xml:space="preserve">” refers to the number of POs in a DRX </w:t>
      </w:r>
      <w:r w:rsidR="002E3684" w:rsidRPr="00C752E2">
        <w:t xml:space="preserve">cycle. </w:t>
      </w:r>
      <w:r w:rsidR="00C752E2" w:rsidRPr="00C752E2">
        <w:t xml:space="preserve">Hence, </w:t>
      </w:r>
      <w:r w:rsidR="00037DCC">
        <w:t xml:space="preserve">by </w:t>
      </w:r>
      <w:r w:rsidR="00C752E2" w:rsidRPr="00C752E2">
        <w:t>using the conditional statements above we will have a:</w:t>
      </w:r>
    </w:p>
    <w:p w14:paraId="0789CCC5" w14:textId="704C61F9" w:rsidR="00C752E2" w:rsidRPr="00C752E2" w:rsidRDefault="00C752E2" w:rsidP="00DC0667">
      <w:pPr>
        <w:pStyle w:val="ListParagraph"/>
        <w:numPr>
          <w:ilvl w:val="0"/>
          <w:numId w:val="21"/>
        </w:numPr>
        <w:rPr>
          <w:rFonts w:ascii="Times New Roman" w:hAnsi="Times New Roman"/>
          <w:sz w:val="20"/>
          <w:szCs w:val="20"/>
        </w:rPr>
      </w:pPr>
      <w:r w:rsidRPr="00C752E2">
        <w:rPr>
          <w:rFonts w:ascii="Times New Roman" w:hAnsi="Times New Roman"/>
          <w:sz w:val="20"/>
          <w:szCs w:val="20"/>
        </w:rPr>
        <w:t>None Sparse Case:</w:t>
      </w:r>
      <w:r w:rsidRPr="00C752E2">
        <w:rPr>
          <w:rFonts w:ascii="Times New Roman" w:hAnsi="Times New Roman"/>
          <w:sz w:val="20"/>
          <w:szCs w:val="20"/>
          <w:lang w:val="en-US"/>
        </w:rPr>
        <w:t xml:space="preserve"> </w:t>
      </w:r>
      <w:r w:rsidRPr="00C752E2">
        <w:rPr>
          <w:rFonts w:ascii="Times New Roman" w:hAnsi="Times New Roman"/>
          <w:sz w:val="20"/>
          <w:szCs w:val="20"/>
        </w:rPr>
        <w:t>High presence of POs (</w:t>
      </w:r>
      <w:bookmarkStart w:id="5" w:name="_Hlk11097054"/>
      <w:r w:rsidRPr="00C752E2">
        <w:rPr>
          <w:rFonts w:ascii="Times New Roman" w:hAnsi="Times New Roman"/>
          <w:sz w:val="20"/>
          <w:szCs w:val="20"/>
        </w:rPr>
        <w:t>nB =&gt; T/2</w:t>
      </w:r>
      <w:bookmarkEnd w:id="5"/>
      <w:r w:rsidR="00376E42" w:rsidRPr="00B53657">
        <w:rPr>
          <w:rFonts w:ascii="Times New Roman" w:hAnsi="Times New Roman"/>
          <w:sz w:val="20"/>
          <w:szCs w:val="20"/>
          <w:lang w:val="en-US"/>
        </w:rPr>
        <w:t xml:space="preserve">, i.e., </w:t>
      </w:r>
      <w:r w:rsidRPr="00C752E2">
        <w:rPr>
          <w:rFonts w:ascii="Times New Roman" w:hAnsi="Times New Roman"/>
          <w:sz w:val="20"/>
          <w:szCs w:val="20"/>
        </w:rPr>
        <w:t>nB = 4T, 2T, T, T/2 )</w:t>
      </w:r>
      <w:r w:rsidRPr="00C752E2">
        <w:rPr>
          <w:rFonts w:ascii="Times New Roman" w:hAnsi="Times New Roman"/>
          <w:sz w:val="20"/>
          <w:szCs w:val="20"/>
          <w:lang w:val="en-US"/>
        </w:rPr>
        <w:t xml:space="preserve">, </w:t>
      </w:r>
      <w:r w:rsidRPr="00C752E2">
        <w:rPr>
          <w:rFonts w:ascii="Times New Roman" w:hAnsi="Times New Roman"/>
          <w:sz w:val="20"/>
          <w:szCs w:val="20"/>
        </w:rPr>
        <w:t xml:space="preserve">there are POs very close or even adjacent to each other. Not all the POs will have NRS, since a decimation pattern will be applied. </w:t>
      </w:r>
    </w:p>
    <w:p w14:paraId="1BD34AAA" w14:textId="77777777" w:rsidR="00C752E2" w:rsidRPr="00C752E2" w:rsidRDefault="00C752E2" w:rsidP="00C752E2">
      <w:pPr>
        <w:pStyle w:val="ListParagraph"/>
        <w:rPr>
          <w:rFonts w:ascii="Times New Roman" w:hAnsi="Times New Roman"/>
          <w:sz w:val="20"/>
          <w:szCs w:val="20"/>
        </w:rPr>
      </w:pPr>
    </w:p>
    <w:p w14:paraId="4FED38C4" w14:textId="1C443FF1" w:rsidR="00C752E2" w:rsidRDefault="00C752E2" w:rsidP="00DC0667">
      <w:pPr>
        <w:pStyle w:val="ListParagraph"/>
        <w:numPr>
          <w:ilvl w:val="0"/>
          <w:numId w:val="21"/>
        </w:numPr>
        <w:rPr>
          <w:rFonts w:ascii="Times New Roman" w:hAnsi="Times New Roman"/>
          <w:sz w:val="20"/>
          <w:szCs w:val="20"/>
        </w:rPr>
      </w:pPr>
      <w:r w:rsidRPr="00C752E2">
        <w:rPr>
          <w:rFonts w:ascii="Times New Roman" w:hAnsi="Times New Roman"/>
          <w:sz w:val="20"/>
          <w:szCs w:val="20"/>
        </w:rPr>
        <w:t>Sparse Case:</w:t>
      </w:r>
      <w:r w:rsidRPr="00C752E2">
        <w:rPr>
          <w:rFonts w:ascii="Times New Roman" w:hAnsi="Times New Roman"/>
          <w:sz w:val="20"/>
          <w:szCs w:val="20"/>
          <w:lang w:val="en-US"/>
        </w:rPr>
        <w:t xml:space="preserve"> </w:t>
      </w:r>
      <w:r>
        <w:rPr>
          <w:rFonts w:ascii="Times New Roman" w:hAnsi="Times New Roman"/>
          <w:sz w:val="20"/>
          <w:szCs w:val="20"/>
          <w:lang w:val="en-US"/>
        </w:rPr>
        <w:t xml:space="preserve">The </w:t>
      </w:r>
      <w:r w:rsidRPr="00C752E2">
        <w:rPr>
          <w:rFonts w:ascii="Times New Roman" w:hAnsi="Times New Roman"/>
          <w:sz w:val="20"/>
          <w:szCs w:val="20"/>
        </w:rPr>
        <w:t>presence of POs</w:t>
      </w:r>
      <w:r w:rsidRPr="00C752E2">
        <w:rPr>
          <w:rFonts w:ascii="Times New Roman" w:hAnsi="Times New Roman"/>
          <w:sz w:val="20"/>
          <w:szCs w:val="20"/>
          <w:lang w:val="en-US"/>
        </w:rPr>
        <w:t xml:space="preserve"> is sparse in time</w:t>
      </w:r>
      <w:r w:rsidR="00376E42">
        <w:rPr>
          <w:rFonts w:ascii="Times New Roman" w:hAnsi="Times New Roman"/>
          <w:sz w:val="20"/>
          <w:szCs w:val="20"/>
          <w:lang w:val="en-US"/>
        </w:rPr>
        <w:t xml:space="preserve"> (</w:t>
      </w:r>
      <w:bookmarkStart w:id="6" w:name="_Hlk11097090"/>
      <w:r w:rsidRPr="00C752E2">
        <w:rPr>
          <w:rFonts w:ascii="Times New Roman" w:hAnsi="Times New Roman"/>
          <w:sz w:val="20"/>
          <w:szCs w:val="20"/>
        </w:rPr>
        <w:t>nB &lt; T/2</w:t>
      </w:r>
      <w:r w:rsidR="00376E42" w:rsidRPr="00B53657">
        <w:rPr>
          <w:rFonts w:ascii="Times New Roman" w:hAnsi="Times New Roman"/>
          <w:sz w:val="20"/>
          <w:szCs w:val="20"/>
          <w:lang w:val="en-US"/>
        </w:rPr>
        <w:t xml:space="preserve">, i.e., </w:t>
      </w:r>
      <w:bookmarkEnd w:id="6"/>
      <w:r w:rsidRPr="00C752E2">
        <w:rPr>
          <w:rFonts w:ascii="Times New Roman" w:hAnsi="Times New Roman"/>
          <w:sz w:val="20"/>
          <w:szCs w:val="20"/>
        </w:rPr>
        <w:t>nB = T/4, T/8, T/16, T/32, T/64, T/128, T/256, T/512, T/1024)</w:t>
      </w:r>
      <w:r w:rsidRPr="00C752E2">
        <w:rPr>
          <w:rFonts w:ascii="Times New Roman" w:hAnsi="Times New Roman"/>
          <w:sz w:val="20"/>
          <w:szCs w:val="20"/>
          <w:lang w:val="en-US"/>
        </w:rPr>
        <w:t xml:space="preserve">. </w:t>
      </w:r>
      <w:r w:rsidRPr="00C752E2">
        <w:rPr>
          <w:rFonts w:ascii="Times New Roman" w:hAnsi="Times New Roman"/>
          <w:sz w:val="20"/>
          <w:szCs w:val="20"/>
        </w:rPr>
        <w:t>All POs will have associated subframes containing NRS.</w:t>
      </w:r>
    </w:p>
    <w:p w14:paraId="67C21806" w14:textId="5204A9E7" w:rsidR="004A342C" w:rsidRPr="00B0524D" w:rsidRDefault="004A342C" w:rsidP="004A342C">
      <w:pPr>
        <w:rPr>
          <w:lang w:val="sv-SE"/>
        </w:rPr>
      </w:pPr>
    </w:p>
    <w:p w14:paraId="44208A1D" w14:textId="48646AE0" w:rsidR="00320B60" w:rsidRDefault="00320B60" w:rsidP="00320B60">
      <w:pPr>
        <w:pStyle w:val="Heading3"/>
      </w:pPr>
      <w:r>
        <w:t>2.1.1</w:t>
      </w:r>
      <w:r>
        <w:tab/>
      </w:r>
      <w:r w:rsidR="001161FC">
        <w:t>Presence of POs is sparse in time (</w:t>
      </w:r>
      <w:r w:rsidR="001161FC" w:rsidRPr="001161FC">
        <w:t xml:space="preserve">nB </w:t>
      </w:r>
      <w:r w:rsidR="00863ED0">
        <w:t>&lt;</w:t>
      </w:r>
      <w:r w:rsidR="001161FC" w:rsidRPr="001161FC">
        <w:t xml:space="preserve"> T/2</w:t>
      </w:r>
      <w:r w:rsidR="001161FC">
        <w:t>)</w:t>
      </w:r>
    </w:p>
    <w:p w14:paraId="02E1C2E0" w14:textId="097DBE0A" w:rsidR="00320B60" w:rsidRDefault="00863ED0" w:rsidP="008948AD">
      <w:pPr>
        <w:jc w:val="both"/>
      </w:pPr>
      <w:r>
        <w:t xml:space="preserve">When the presence of POs is sparse in time, RAN1 has already agreed </w:t>
      </w:r>
      <w:r w:rsidR="008948AD">
        <w:t>“</w:t>
      </w:r>
      <w:r w:rsidR="008948AD" w:rsidRPr="008948AD">
        <w:rPr>
          <w:rFonts w:ascii="Times" w:eastAsia="Batang" w:hAnsi="Times"/>
          <w:i/>
          <w:sz w:val="16"/>
          <w:szCs w:val="24"/>
          <w:lang w:eastAsia="en-US"/>
        </w:rPr>
        <w:t>For nB&lt;T/2, M=10, N=0</w:t>
      </w:r>
      <w:r w:rsidR="008948AD">
        <w:t xml:space="preserve">”. However, it was not clear whether M includes invalid subframes. In Rel-14, it is specified that when the UE is paged on a non-anchor carrier, the UE assumes </w:t>
      </w:r>
      <w:r w:rsidR="00E77C08">
        <w:t xml:space="preserve">that </w:t>
      </w:r>
      <w:r w:rsidR="008948AD" w:rsidRPr="005E0144">
        <w:t xml:space="preserve">NRSs are transmitted </w:t>
      </w:r>
      <w:r w:rsidR="00E77C08">
        <w:t xml:space="preserve">in </w:t>
      </w:r>
      <w:r w:rsidR="008948AD" w:rsidRPr="005E0144">
        <w:t>10 NB-IoT DL subframes before</w:t>
      </w:r>
      <w:r w:rsidR="008948AD">
        <w:t xml:space="preserve"> the PO. Therefore, in order to ensure a similar behaviour for the case with and without paging, M should be the number of </w:t>
      </w:r>
      <w:r w:rsidR="008948AD" w:rsidRPr="005E0144">
        <w:t>NB-IoT DL subframes</w:t>
      </w:r>
      <w:r w:rsidR="008948AD">
        <w:t xml:space="preserve"> before the PO. </w:t>
      </w:r>
    </w:p>
    <w:p w14:paraId="353BFD81" w14:textId="0EB33D60" w:rsidR="00583B2E" w:rsidRPr="00686367" w:rsidRDefault="00E36AFE" w:rsidP="00686367">
      <w:pPr>
        <w:jc w:val="both"/>
      </w:pPr>
      <w:r w:rsidRPr="00E36AFE">
        <w:t xml:space="preserve">Therefore, it is proposed that  </w:t>
      </w:r>
    </w:p>
    <w:p w14:paraId="1F2F1615" w14:textId="7E224429" w:rsidR="005C1A64" w:rsidRPr="00AC7AC0" w:rsidRDefault="008948AD" w:rsidP="005C1A64">
      <w:pPr>
        <w:pStyle w:val="Proposal"/>
        <w:rPr>
          <w:lang w:val="en-US"/>
        </w:rPr>
      </w:pPr>
      <w:bookmarkStart w:id="7" w:name="_Toc21078249"/>
      <w:r>
        <w:rPr>
          <w:lang w:val="en-US"/>
        </w:rPr>
        <w:t xml:space="preserve">RAN1 clarifies that for </w:t>
      </w:r>
      <w:r w:rsidRPr="008948AD">
        <w:rPr>
          <w:lang w:val="en-US"/>
        </w:rPr>
        <w:t>nB&lt;T/2</w:t>
      </w:r>
      <w:r>
        <w:rPr>
          <w:lang w:val="en-US"/>
        </w:rPr>
        <w:t xml:space="preserve">, the UE assumes </w:t>
      </w:r>
      <w:r w:rsidR="00E77C08">
        <w:rPr>
          <w:lang w:val="en-US"/>
        </w:rPr>
        <w:t xml:space="preserve">that </w:t>
      </w:r>
      <w:r w:rsidRPr="005E0144">
        <w:t xml:space="preserve">NRSs are transmitted </w:t>
      </w:r>
      <w:r w:rsidR="00E77C08">
        <w:t xml:space="preserve">in </w:t>
      </w:r>
      <w:r w:rsidRPr="005E0144">
        <w:t>10</w:t>
      </w:r>
      <w:r w:rsidRPr="00A7138B">
        <w:t xml:space="preserve"> </w:t>
      </w:r>
      <w:r w:rsidRPr="005E0144">
        <w:t>NB-IoT DL subframes before</w:t>
      </w:r>
      <w:r>
        <w:t xml:space="preserve"> the PO</w:t>
      </w:r>
      <w:r w:rsidR="00811366">
        <w:rPr>
          <w:lang w:val="en-US"/>
        </w:rPr>
        <w:t>.</w:t>
      </w:r>
      <w:bookmarkEnd w:id="7"/>
    </w:p>
    <w:p w14:paraId="71523624" w14:textId="6232789D" w:rsidR="00320B60" w:rsidRPr="00320B60" w:rsidRDefault="00320B60" w:rsidP="00320B60">
      <w:pPr>
        <w:pStyle w:val="Heading3"/>
      </w:pPr>
      <w:r>
        <w:t>2.1.2</w:t>
      </w:r>
      <w:r>
        <w:tab/>
      </w:r>
      <w:r w:rsidR="001161FC">
        <w:t>High presence of POs (</w:t>
      </w:r>
      <w:r w:rsidR="001161FC" w:rsidRPr="001161FC">
        <w:t xml:space="preserve">nB </w:t>
      </w:r>
      <w:r w:rsidR="00626950">
        <w:t>&gt;=</w:t>
      </w:r>
      <w:r w:rsidR="001161FC" w:rsidRPr="001161FC">
        <w:t xml:space="preserve"> T/2</w:t>
      </w:r>
      <w:r w:rsidR="001161FC">
        <w:t>)</w:t>
      </w:r>
    </w:p>
    <w:p w14:paraId="11486ADA" w14:textId="7DAE25F7" w:rsidR="00E77C08" w:rsidRPr="00627510" w:rsidRDefault="00AF0126" w:rsidP="00E77C08">
      <w:pPr>
        <w:rPr>
          <w:lang w:eastAsia="zh-CN"/>
        </w:rPr>
      </w:pPr>
      <w:r>
        <w:t xml:space="preserve">When there is a high presence of POs, RAN1 has agreed </w:t>
      </w:r>
      <w:r w:rsidRPr="00E77C08">
        <w:t>that a decimation pattern</w:t>
      </w:r>
      <w:r>
        <w:t xml:space="preserve"> will be applied accounting for the following agreements</w:t>
      </w:r>
      <w:r w:rsidR="00E77C08">
        <w:t xml:space="preserve">. </w:t>
      </w:r>
      <w:r w:rsidR="00E77C08" w:rsidRPr="00627510">
        <w:rPr>
          <w:lang w:eastAsia="zh-CN"/>
        </w:rPr>
        <w:t>The following action points are for discussion in RAN1#98bis</w:t>
      </w:r>
      <w:r w:rsidR="00E77C08">
        <w:rPr>
          <w:lang w:eastAsia="zh-CN"/>
        </w:rPr>
        <w:t xml:space="preserve">. </w:t>
      </w:r>
    </w:p>
    <w:p w14:paraId="2237D4E9" w14:textId="77777777" w:rsidR="00E77C08" w:rsidRPr="00513A58" w:rsidRDefault="00E77C08" w:rsidP="00E77C08">
      <w:pPr>
        <w:rPr>
          <w:lang w:eastAsia="zh-CN"/>
        </w:rPr>
      </w:pPr>
      <w:r w:rsidRPr="00513A58">
        <w:rPr>
          <w:lang w:eastAsia="zh-CN"/>
        </w:rPr>
        <w:t xml:space="preserve">For </w:t>
      </w:r>
      <w:r>
        <w:rPr>
          <w:lang w:eastAsia="zh-CN"/>
        </w:rPr>
        <w:t>the cases where decimation is applied</w:t>
      </w:r>
      <w:r w:rsidRPr="00513A58">
        <w:rPr>
          <w:lang w:eastAsia="zh-CN"/>
        </w:rPr>
        <w:t>, the decimation pattern is based on the following formula:</w:t>
      </w:r>
    </w:p>
    <w:p w14:paraId="52EFAC76" w14:textId="77777777" w:rsidR="00E77C08" w:rsidRPr="00627510" w:rsidRDefault="00E77C08" w:rsidP="00E77C08">
      <w:pPr>
        <w:pStyle w:val="ListParagraph"/>
        <w:numPr>
          <w:ilvl w:val="0"/>
          <w:numId w:val="20"/>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lastRenderedPageBreak/>
        <w:t>R = (PO_Index+(X div T)) mod 2, where:</w:t>
      </w:r>
    </w:p>
    <w:p w14:paraId="4FB7FF16" w14:textId="77777777" w:rsidR="00E77C08" w:rsidRPr="00627510" w:rsidRDefault="00E77C08" w:rsidP="00B55508">
      <w:pPr>
        <w:pStyle w:val="ListParagraph"/>
        <w:numPr>
          <w:ilvl w:val="2"/>
          <w:numId w:val="37"/>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PO_Index is the index of the PO within one DRX cycle: PO_Index = (SFN/Ns * N + i_s) mod T</w:t>
      </w:r>
    </w:p>
    <w:p w14:paraId="60C1CF20" w14:textId="77777777" w:rsidR="00E77C08" w:rsidRPr="00627510" w:rsidRDefault="00E77C08" w:rsidP="00B55508">
      <w:pPr>
        <w:pStyle w:val="ListParagraph"/>
        <w:numPr>
          <w:ilvl w:val="2"/>
          <w:numId w:val="37"/>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X = SFN + 1024 * H-SFN</w:t>
      </w:r>
    </w:p>
    <w:p w14:paraId="0633DA31" w14:textId="77777777" w:rsidR="00E77C08" w:rsidRPr="00627510" w:rsidRDefault="00E77C08" w:rsidP="00B55508">
      <w:pPr>
        <w:pStyle w:val="ListParagraph"/>
        <w:numPr>
          <w:ilvl w:val="2"/>
          <w:numId w:val="37"/>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T is the DRX cycle measured in radio frames.</w:t>
      </w:r>
    </w:p>
    <w:p w14:paraId="0E463BEE" w14:textId="77777777" w:rsidR="00E77C08" w:rsidRPr="00627510" w:rsidRDefault="00E77C08" w:rsidP="00B55508">
      <w:pPr>
        <w:pStyle w:val="ListParagraph"/>
        <w:numPr>
          <w:ilvl w:val="2"/>
          <w:numId w:val="37"/>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If R=1, the PO has NRS associated with it. If R=0 the PO does not have NRS associated with it.</w:t>
      </w:r>
    </w:p>
    <w:p w14:paraId="3775E0CB" w14:textId="77777777" w:rsidR="00E77C08" w:rsidRPr="00627510" w:rsidRDefault="00E77C08" w:rsidP="00E77C08">
      <w:pPr>
        <w:pStyle w:val="ListParagraph"/>
        <w:numPr>
          <w:ilvl w:val="0"/>
          <w:numId w:val="20"/>
        </w:numPr>
        <w:overflowPunct/>
        <w:autoSpaceDE/>
        <w:autoSpaceDN/>
        <w:adjustRightInd/>
        <w:jc w:val="both"/>
        <w:textAlignment w:val="auto"/>
        <w:rPr>
          <w:rFonts w:ascii="Times New Roman" w:eastAsia="SimSun" w:hAnsi="Times New Roman"/>
          <w:sz w:val="20"/>
          <w:szCs w:val="20"/>
          <w:lang w:val="en-GB" w:eastAsia="zh-CN"/>
        </w:rPr>
      </w:pPr>
      <w:r w:rsidRPr="00627510">
        <w:rPr>
          <w:rFonts w:ascii="Times New Roman" w:eastAsia="SimSun" w:hAnsi="Times New Roman"/>
          <w:sz w:val="20"/>
          <w:szCs w:val="20"/>
          <w:lang w:val="en-GB" w:eastAsia="zh-CN"/>
        </w:rPr>
        <w:t>FFS: How to capture the above in the specification</w:t>
      </w:r>
    </w:p>
    <w:p w14:paraId="2A514860" w14:textId="1415541C" w:rsidR="00AF0126" w:rsidRDefault="00AF0126" w:rsidP="00AF0126"/>
    <w:p w14:paraId="5992E658" w14:textId="4F0CE791" w:rsidR="00E77C08" w:rsidRPr="0063309A" w:rsidRDefault="001312E6" w:rsidP="00AF0126">
      <w:pPr>
        <w:rPr>
          <w:lang w:eastAsia="zh-CN"/>
        </w:rPr>
      </w:pPr>
      <w:r>
        <w:rPr>
          <w:lang w:eastAsia="zh-CN"/>
        </w:rPr>
        <w:t xml:space="preserve">Recall that </w:t>
      </w:r>
      <w:r w:rsidR="00B25F47">
        <w:rPr>
          <w:rFonts w:hint="eastAsia"/>
          <w:lang w:eastAsia="zh-CN"/>
        </w:rPr>
        <w:t>the</w:t>
      </w:r>
      <w:r w:rsidR="00B25F47" w:rsidRPr="0063309A">
        <w:rPr>
          <w:lang w:eastAsia="zh-CN"/>
        </w:rPr>
        <w:t xml:space="preserve"> paging frame (PF) and paging occasions (POs) are determined in </w:t>
      </w:r>
      <w:r w:rsidR="00961733">
        <w:rPr>
          <w:lang w:eastAsia="zh-CN"/>
        </w:rPr>
        <w:fldChar w:fldCharType="begin"/>
      </w:r>
      <w:r w:rsidR="00961733">
        <w:rPr>
          <w:lang w:eastAsia="zh-CN"/>
        </w:rPr>
        <w:instrText xml:space="preserve"> REF _Ref20998941 \r \h </w:instrText>
      </w:r>
      <w:r w:rsidR="00961733">
        <w:rPr>
          <w:lang w:eastAsia="zh-CN"/>
        </w:rPr>
      </w:r>
      <w:r w:rsidR="00961733">
        <w:rPr>
          <w:lang w:eastAsia="zh-CN"/>
        </w:rPr>
        <w:fldChar w:fldCharType="separate"/>
      </w:r>
      <w:r w:rsidR="009D7443">
        <w:rPr>
          <w:lang w:eastAsia="zh-CN"/>
        </w:rPr>
        <w:t>[4]</w:t>
      </w:r>
      <w:r w:rsidR="00961733">
        <w:rPr>
          <w:lang w:eastAsia="zh-CN"/>
        </w:rPr>
        <w:fldChar w:fldCharType="end"/>
      </w:r>
      <w:r w:rsidR="00961733">
        <w:rPr>
          <w:lang w:eastAsia="zh-CN"/>
        </w:rPr>
        <w:t xml:space="preserve"> </w:t>
      </w:r>
      <w:r w:rsidR="00B25F47" w:rsidRPr="0063309A">
        <w:rPr>
          <w:lang w:eastAsia="zh-CN"/>
        </w:rPr>
        <w:t xml:space="preserve">TS 36.304 as follows. </w:t>
      </w:r>
    </w:p>
    <w:p w14:paraId="7A14B4EB" w14:textId="77777777" w:rsidR="00B25F47" w:rsidRPr="008C7757" w:rsidRDefault="00B25F47" w:rsidP="00B25F47">
      <w:pPr>
        <w:pStyle w:val="B1"/>
        <w:ind w:left="0" w:firstLine="0"/>
      </w:pPr>
      <w:r w:rsidRPr="008C7757">
        <w:t>PF is given by following equation:</w:t>
      </w:r>
    </w:p>
    <w:p w14:paraId="076DA3AB" w14:textId="6D410D1E" w:rsidR="00B25F47" w:rsidRPr="005C3316" w:rsidRDefault="00B25F47" w:rsidP="00B25F47">
      <w:pPr>
        <w:pStyle w:val="B2"/>
        <w:rPr>
          <w:lang w:val="sv-SE" w:eastAsia="zh-CN"/>
        </w:rPr>
      </w:pPr>
      <w:r w:rsidRPr="005C3316">
        <w:rPr>
          <w:lang w:val="sv-SE" w:eastAsia="zh-CN"/>
        </w:rPr>
        <w:t>SFN mod T= (T div N)</w:t>
      </w:r>
      <w:r w:rsidR="0063309A" w:rsidRPr="005C3316">
        <w:rPr>
          <w:lang w:val="sv-SE" w:eastAsia="zh-CN"/>
        </w:rPr>
        <w:t xml:space="preserve"> </w:t>
      </w:r>
      <w:r w:rsidRPr="005C3316">
        <w:rPr>
          <w:lang w:val="sv-SE" w:eastAsia="zh-CN"/>
        </w:rPr>
        <w:t>*</w:t>
      </w:r>
      <w:r w:rsidR="0063309A" w:rsidRPr="005C3316">
        <w:rPr>
          <w:lang w:val="sv-SE" w:eastAsia="zh-CN"/>
        </w:rPr>
        <w:t xml:space="preserve"> </w:t>
      </w:r>
      <w:r w:rsidRPr="005C3316">
        <w:rPr>
          <w:lang w:val="sv-SE" w:eastAsia="zh-CN"/>
        </w:rPr>
        <w:t>(UE_ID mod N)</w:t>
      </w:r>
    </w:p>
    <w:p w14:paraId="262AC230" w14:textId="77777777" w:rsidR="00B25F47" w:rsidRPr="00B25F47" w:rsidRDefault="00B25F47" w:rsidP="0063309A">
      <w:pPr>
        <w:pStyle w:val="Default"/>
        <w:spacing w:after="180"/>
        <w:rPr>
          <w:color w:val="auto"/>
          <w:sz w:val="20"/>
          <w:szCs w:val="20"/>
          <w:lang w:eastAsia="zh-CN"/>
        </w:rPr>
      </w:pPr>
      <w:r w:rsidRPr="00B25F47">
        <w:rPr>
          <w:color w:val="auto"/>
          <w:sz w:val="20"/>
          <w:szCs w:val="20"/>
          <w:lang w:eastAsia="zh-CN"/>
        </w:rPr>
        <w:t xml:space="preserve">Index i_s pointing to PO from subframe pattern defined in 7.2 will be derived from following calculation: </w:t>
      </w:r>
    </w:p>
    <w:p w14:paraId="56C9E4E2" w14:textId="77777777" w:rsidR="00B25F47" w:rsidRDefault="00B25F47" w:rsidP="0063309A">
      <w:pPr>
        <w:ind w:firstLine="567"/>
        <w:rPr>
          <w:lang w:eastAsia="zh-CN"/>
        </w:rPr>
      </w:pPr>
      <w:r>
        <w:rPr>
          <w:lang w:eastAsia="zh-CN"/>
        </w:rPr>
        <w:t xml:space="preserve">i_s = floor(UE_ID/N) mod Ns </w:t>
      </w:r>
    </w:p>
    <w:p w14:paraId="6FCD0FC2" w14:textId="77777777" w:rsidR="0063309A" w:rsidRPr="0063309A" w:rsidRDefault="0063309A" w:rsidP="0063309A">
      <w:pPr>
        <w:pStyle w:val="Default"/>
        <w:spacing w:after="180"/>
        <w:rPr>
          <w:color w:val="auto"/>
          <w:sz w:val="20"/>
          <w:szCs w:val="20"/>
          <w:lang w:eastAsia="zh-CN"/>
        </w:rPr>
      </w:pPr>
      <w:r w:rsidRPr="0063309A">
        <w:rPr>
          <w:color w:val="auto"/>
          <w:sz w:val="20"/>
          <w:szCs w:val="20"/>
          <w:lang w:eastAsia="zh-CN"/>
        </w:rPr>
        <w:t xml:space="preserve">The following Parameters are used for the calculation of the PF, i_s, PNB, and the NB-IoT paging carrier: </w:t>
      </w:r>
    </w:p>
    <w:p w14:paraId="28E2805C" w14:textId="77777777" w:rsidR="0063309A" w:rsidRPr="0063309A" w:rsidRDefault="0063309A" w:rsidP="0063309A">
      <w:pPr>
        <w:pStyle w:val="Default"/>
        <w:spacing w:after="180"/>
        <w:ind w:left="567"/>
        <w:rPr>
          <w:color w:val="auto"/>
          <w:sz w:val="20"/>
          <w:szCs w:val="20"/>
          <w:lang w:eastAsia="zh-CN"/>
        </w:rPr>
      </w:pPr>
      <w:r w:rsidRPr="0063309A">
        <w:rPr>
          <w:color w:val="auto"/>
          <w:sz w:val="20"/>
          <w:szCs w:val="20"/>
          <w:lang w:eastAsia="zh-CN"/>
        </w:rPr>
        <w:t xml:space="preserve">- T: 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 </w:t>
      </w:r>
    </w:p>
    <w:p w14:paraId="14631F11" w14:textId="77777777" w:rsidR="0063309A" w:rsidRPr="0063309A" w:rsidRDefault="0063309A" w:rsidP="0063309A">
      <w:pPr>
        <w:pStyle w:val="Default"/>
        <w:spacing w:after="180"/>
        <w:ind w:firstLine="567"/>
        <w:rPr>
          <w:color w:val="auto"/>
          <w:sz w:val="20"/>
          <w:szCs w:val="20"/>
          <w:lang w:eastAsia="zh-CN"/>
        </w:rPr>
      </w:pPr>
      <w:r w:rsidRPr="0063309A">
        <w:rPr>
          <w:color w:val="auto"/>
          <w:sz w:val="20"/>
          <w:szCs w:val="20"/>
          <w:lang w:eastAsia="zh-CN"/>
        </w:rPr>
        <w:t xml:space="preserve">- nB: 4T, 2T, T, T/2, T/4, T/8, T/16, T/32, T/64, T/128, and T/256, and for NB-IoT also T/512, and T/1024. </w:t>
      </w:r>
    </w:p>
    <w:p w14:paraId="39AB9A41" w14:textId="6D154FC5" w:rsidR="0063309A" w:rsidRPr="00F757A5" w:rsidRDefault="0063309A" w:rsidP="0063309A">
      <w:pPr>
        <w:pStyle w:val="Default"/>
        <w:spacing w:after="180"/>
        <w:ind w:firstLine="567"/>
        <w:rPr>
          <w:color w:val="auto"/>
          <w:sz w:val="20"/>
          <w:szCs w:val="20"/>
          <w:lang w:val="sv-SE" w:eastAsia="zh-CN"/>
        </w:rPr>
      </w:pPr>
      <w:r w:rsidRPr="00F757A5">
        <w:rPr>
          <w:color w:val="auto"/>
          <w:sz w:val="20"/>
          <w:szCs w:val="20"/>
          <w:lang w:val="sv-SE" w:eastAsia="zh-CN"/>
        </w:rPr>
        <w:t xml:space="preserve">- N: min(T, nB) </w:t>
      </w:r>
    </w:p>
    <w:p w14:paraId="0749899B" w14:textId="0C0313A5" w:rsidR="0063309A" w:rsidRPr="00F757A5" w:rsidRDefault="0063309A" w:rsidP="0063309A">
      <w:pPr>
        <w:pStyle w:val="Default"/>
        <w:spacing w:after="180"/>
        <w:ind w:firstLine="567"/>
        <w:rPr>
          <w:color w:val="auto"/>
          <w:sz w:val="20"/>
          <w:szCs w:val="20"/>
          <w:lang w:val="sv-SE" w:eastAsia="zh-CN"/>
        </w:rPr>
      </w:pPr>
      <w:r w:rsidRPr="00F757A5">
        <w:rPr>
          <w:color w:val="auto"/>
          <w:sz w:val="20"/>
          <w:szCs w:val="20"/>
          <w:lang w:val="sv-SE" w:eastAsia="zh-CN"/>
        </w:rPr>
        <w:t xml:space="preserve">- Ns: max(1, nB/T) </w:t>
      </w:r>
    </w:p>
    <w:p w14:paraId="6EF4F8C3" w14:textId="65A2268F" w:rsidR="00E77C08" w:rsidRDefault="0063309A" w:rsidP="0063309A">
      <w:pPr>
        <w:ind w:left="567"/>
        <w:rPr>
          <w:lang w:eastAsia="zh-CN"/>
        </w:rPr>
      </w:pPr>
      <w:r>
        <w:rPr>
          <w:lang w:eastAsia="zh-CN"/>
        </w:rPr>
        <w:t>- Nn: number of paging narrowbands (for P-RNTI monitored on MPDCCH) or paging carriers (for P-RNTI monitored on NPDCCH) provided in system information</w:t>
      </w:r>
    </w:p>
    <w:p w14:paraId="74B3D028" w14:textId="4A8AEA9E" w:rsidR="0063309A" w:rsidRDefault="0063309A" w:rsidP="0063309A">
      <w:pPr>
        <w:ind w:left="567"/>
      </w:pPr>
      <w:r>
        <w:t>- UE_ID:</w:t>
      </w:r>
    </w:p>
    <w:p w14:paraId="4363D770" w14:textId="77777777" w:rsidR="0063309A" w:rsidRDefault="0063309A" w:rsidP="0063309A">
      <w:pPr>
        <w:ind w:left="567"/>
        <w:rPr>
          <w:lang w:eastAsia="zh-CN"/>
        </w:rPr>
      </w:pPr>
      <w:r>
        <w:rPr>
          <w:lang w:eastAsia="zh-CN"/>
        </w:rPr>
        <w:t>IMSI mod 1024, if P-RNTI is monitored on PDCCH.</w:t>
      </w:r>
    </w:p>
    <w:p w14:paraId="684CC697" w14:textId="77777777" w:rsidR="0063309A" w:rsidRDefault="0063309A" w:rsidP="0063309A">
      <w:pPr>
        <w:ind w:left="567"/>
        <w:rPr>
          <w:lang w:eastAsia="zh-CN"/>
        </w:rPr>
      </w:pPr>
      <w:r>
        <w:rPr>
          <w:lang w:eastAsia="zh-CN"/>
        </w:rPr>
        <w:t>IMSI mod 4096, if P-RNTI is monitored on NPDCCH.</w:t>
      </w:r>
    </w:p>
    <w:p w14:paraId="4E578424" w14:textId="646B8611" w:rsidR="0063309A" w:rsidRDefault="0063309A" w:rsidP="0063309A">
      <w:pPr>
        <w:ind w:left="567"/>
        <w:rPr>
          <w:lang w:eastAsia="zh-CN"/>
        </w:rPr>
      </w:pPr>
      <w:r>
        <w:rPr>
          <w:lang w:eastAsia="zh-CN"/>
        </w:rPr>
        <w:t>IMSI mod 16384, if P-RNTI is monitored on MPDCCH or if P-RNTI is monitored on NPDCCH and the UE supports paging on a non-anchor carrier, and if paging configuration for non-anchor carrier is provided in system information.</w:t>
      </w:r>
    </w:p>
    <w:p w14:paraId="40F0A5B7" w14:textId="6E5448C2" w:rsidR="00A86F11" w:rsidRDefault="002D446A" w:rsidP="004D2BC3">
      <w:pPr>
        <w:pStyle w:val="BodyText"/>
        <w:rPr>
          <w:rFonts w:ascii="Times New Roman" w:hAnsi="Times New Roman"/>
        </w:rPr>
      </w:pPr>
      <w:r>
        <w:rPr>
          <w:rFonts w:ascii="Times New Roman" w:hAnsi="Times New Roman"/>
        </w:rPr>
        <w:t>For NB-IoT the possible values of T are {</w:t>
      </w:r>
      <w:r w:rsidRPr="002D446A">
        <w:rPr>
          <w:rFonts w:ascii="Times New Roman" w:hAnsi="Times New Roman"/>
        </w:rPr>
        <w:t>128,</w:t>
      </w:r>
      <w:r>
        <w:rPr>
          <w:rFonts w:ascii="Times New Roman" w:hAnsi="Times New Roman"/>
        </w:rPr>
        <w:t xml:space="preserve"> </w:t>
      </w:r>
      <w:r w:rsidRPr="002D446A">
        <w:rPr>
          <w:rFonts w:ascii="Times New Roman" w:hAnsi="Times New Roman"/>
        </w:rPr>
        <w:t>256,</w:t>
      </w:r>
      <w:r>
        <w:rPr>
          <w:rFonts w:ascii="Times New Roman" w:hAnsi="Times New Roman"/>
        </w:rPr>
        <w:t xml:space="preserve"> </w:t>
      </w:r>
      <w:r w:rsidRPr="002D446A">
        <w:rPr>
          <w:rFonts w:ascii="Times New Roman" w:hAnsi="Times New Roman"/>
        </w:rPr>
        <w:t>512,</w:t>
      </w:r>
      <w:r>
        <w:rPr>
          <w:rFonts w:ascii="Times New Roman" w:hAnsi="Times New Roman"/>
        </w:rPr>
        <w:t xml:space="preserve"> </w:t>
      </w:r>
      <w:r w:rsidRPr="002D446A">
        <w:rPr>
          <w:rFonts w:ascii="Times New Roman" w:hAnsi="Times New Roman"/>
        </w:rPr>
        <w:t>1024</w:t>
      </w:r>
      <w:r>
        <w:rPr>
          <w:rFonts w:ascii="Times New Roman" w:hAnsi="Times New Roman"/>
        </w:rPr>
        <w:t xml:space="preserve">}. </w:t>
      </w:r>
      <w:r w:rsidR="0021583F" w:rsidRPr="00EE305F">
        <w:rPr>
          <w:rFonts w:ascii="Times New Roman" w:hAnsi="Times New Roman"/>
        </w:rPr>
        <w:t>The case when nB&gt;=T/2, includes nB = 4T, 2T, T, T/2 and encompasses the presence of four UE groups (nB = 4T), two UE groups (nB = 2T) and one UE group (nB = T and T/2 respectively).</w:t>
      </w:r>
      <w:r w:rsidR="0021583F">
        <w:rPr>
          <w:rFonts w:ascii="Times New Roman" w:hAnsi="Times New Roman"/>
        </w:rPr>
        <w:t xml:space="preserve"> </w:t>
      </w:r>
      <w:r w:rsidR="007450D6">
        <w:rPr>
          <w:rFonts w:ascii="Times New Roman" w:hAnsi="Times New Roman"/>
        </w:rPr>
        <w:t>Since</w:t>
      </w:r>
      <w:r w:rsidR="00D24064">
        <w:rPr>
          <w:rFonts w:ascii="Times New Roman" w:hAnsi="Times New Roman"/>
        </w:rPr>
        <w:t xml:space="preserve"> the PF </w:t>
      </w:r>
      <w:r w:rsidR="007450D6">
        <w:rPr>
          <w:rFonts w:ascii="Times New Roman" w:hAnsi="Times New Roman"/>
        </w:rPr>
        <w:t>is determined as “</w:t>
      </w:r>
      <w:r w:rsidR="007450D6" w:rsidRPr="007450D6">
        <w:rPr>
          <w:rFonts w:ascii="Times New Roman" w:hAnsi="Times New Roman"/>
        </w:rPr>
        <w:t>SFN mod T= (T div N) * (UE_ID mod N)</w:t>
      </w:r>
      <w:r w:rsidR="007450D6">
        <w:rPr>
          <w:rFonts w:ascii="Times New Roman" w:hAnsi="Times New Roman"/>
        </w:rPr>
        <w:t>”, for the case nB={</w:t>
      </w:r>
      <w:r w:rsidR="007450D6" w:rsidRPr="007450D6">
        <w:rPr>
          <w:rFonts w:ascii="Times New Roman" w:hAnsi="Times New Roman"/>
        </w:rPr>
        <w:t>4T, 2T, T</w:t>
      </w:r>
      <w:r w:rsidR="007450D6">
        <w:rPr>
          <w:rFonts w:ascii="Times New Roman" w:hAnsi="Times New Roman"/>
        </w:rPr>
        <w:t>}, each radio frame is a</w:t>
      </w:r>
      <w:r w:rsidR="00105439">
        <w:rPr>
          <w:rFonts w:ascii="Times New Roman" w:hAnsi="Times New Roman"/>
        </w:rPr>
        <w:t xml:space="preserve"> PF and for nB = T/2, every other radio frame is a PF. </w:t>
      </w:r>
      <w:r w:rsidR="00A86F11">
        <w:rPr>
          <w:rFonts w:ascii="Times New Roman" w:hAnsi="Times New Roman"/>
        </w:rPr>
        <w:t xml:space="preserve">The UEs are distributed to each of the PF based on the UE_ID, and each UE monitors its PO once per DRX cycle. </w:t>
      </w:r>
    </w:p>
    <w:p w14:paraId="786B6926" w14:textId="0B88636D" w:rsidR="00283EC7" w:rsidRDefault="00021C86" w:rsidP="00283EC7">
      <w:pPr>
        <w:pStyle w:val="BodyText"/>
        <w:rPr>
          <w:rFonts w:ascii="Times New Roman" w:hAnsi="Times New Roman"/>
        </w:rPr>
      </w:pPr>
      <w:r>
        <w:rPr>
          <w:rFonts w:ascii="Times New Roman" w:hAnsi="Times New Roman"/>
        </w:rPr>
        <w:t xml:space="preserve">Notice that the proposed formula </w:t>
      </w:r>
      <w:r w:rsidRPr="00627510">
        <w:rPr>
          <w:rFonts w:ascii="Times New Roman" w:hAnsi="Times New Roman"/>
        </w:rPr>
        <w:t>R = (PO_Index+(X div T)) mod 2</w:t>
      </w:r>
      <w:r>
        <w:rPr>
          <w:rFonts w:ascii="Times New Roman" w:hAnsi="Times New Roman"/>
        </w:rPr>
        <w:t xml:space="preserve"> is not related to a </w:t>
      </w:r>
      <w:r w:rsidR="00D7795E">
        <w:rPr>
          <w:rFonts w:ascii="Times New Roman" w:hAnsi="Times New Roman"/>
        </w:rPr>
        <w:t>UE</w:t>
      </w:r>
      <w:r>
        <w:rPr>
          <w:rFonts w:ascii="Times New Roman" w:hAnsi="Times New Roman"/>
        </w:rPr>
        <w:t>_ID but</w:t>
      </w:r>
      <w:r w:rsidR="00D7795E">
        <w:rPr>
          <w:rFonts w:ascii="Times New Roman" w:hAnsi="Times New Roman"/>
        </w:rPr>
        <w:t xml:space="preserve"> to </w:t>
      </w:r>
      <w:r w:rsidR="00D7795E" w:rsidRPr="00D7795E">
        <w:rPr>
          <w:rFonts w:ascii="Times New Roman" w:hAnsi="Times New Roman"/>
        </w:rPr>
        <w:t>i_s</w:t>
      </w:r>
      <w:r w:rsidR="00677C05">
        <w:rPr>
          <w:rFonts w:ascii="Times New Roman" w:hAnsi="Times New Roman"/>
        </w:rPr>
        <w:t xml:space="preserve">, which has </w:t>
      </w:r>
      <w:r w:rsidR="004B18EB">
        <w:rPr>
          <w:rFonts w:ascii="Times New Roman" w:hAnsi="Times New Roman"/>
        </w:rPr>
        <w:t xml:space="preserve">at </w:t>
      </w:r>
      <w:r w:rsidR="00677C05">
        <w:rPr>
          <w:rFonts w:ascii="Times New Roman" w:hAnsi="Times New Roman"/>
        </w:rPr>
        <w:t>most 4 different values depending on the number of UE groups</w:t>
      </w:r>
      <w:r w:rsidR="00D7795E">
        <w:rPr>
          <w:rFonts w:ascii="Times New Roman" w:hAnsi="Times New Roman"/>
        </w:rPr>
        <w:t xml:space="preserve">. As discussed above, </w:t>
      </w:r>
      <w:r w:rsidR="00283EC7">
        <w:rPr>
          <w:rFonts w:ascii="Times New Roman" w:hAnsi="Times New Roman"/>
        </w:rPr>
        <w:t xml:space="preserve">the UE is </w:t>
      </w:r>
      <w:r w:rsidR="00A41979">
        <w:rPr>
          <w:rFonts w:ascii="Times New Roman" w:hAnsi="Times New Roman"/>
        </w:rPr>
        <w:t xml:space="preserve">distributed </w:t>
      </w:r>
      <w:r w:rsidR="00283EC7">
        <w:rPr>
          <w:rFonts w:ascii="Times New Roman" w:hAnsi="Times New Roman"/>
        </w:rPr>
        <w:t xml:space="preserve">to every radio frame based on its i_s value. Therefore, by using R, the UEs are </w:t>
      </w:r>
      <w:r w:rsidR="00283EC7" w:rsidRPr="00EE305F">
        <w:rPr>
          <w:rFonts w:ascii="Times New Roman" w:hAnsi="Times New Roman"/>
        </w:rPr>
        <w:t>divide</w:t>
      </w:r>
      <w:r w:rsidR="00283EC7">
        <w:rPr>
          <w:rFonts w:ascii="Times New Roman" w:hAnsi="Times New Roman"/>
        </w:rPr>
        <w:t>d</w:t>
      </w:r>
      <w:r w:rsidR="00283EC7" w:rsidRPr="00EE305F">
        <w:rPr>
          <w:rFonts w:ascii="Times New Roman" w:hAnsi="Times New Roman"/>
        </w:rPr>
        <w:t xml:space="preserve"> at most into two groups</w:t>
      </w:r>
      <w:r w:rsidR="005303E2">
        <w:rPr>
          <w:rFonts w:ascii="Times New Roman" w:hAnsi="Times New Roman"/>
        </w:rPr>
        <w:t xml:space="preserve"> (</w:t>
      </w:r>
      <w:r w:rsidR="00C771AE">
        <w:rPr>
          <w:rFonts w:ascii="Times New Roman" w:hAnsi="Times New Roman"/>
        </w:rPr>
        <w:t xml:space="preserve">i_s = 0, i_s =2 </w:t>
      </w:r>
      <w:r w:rsidR="005303E2">
        <w:rPr>
          <w:rFonts w:ascii="Times New Roman" w:hAnsi="Times New Roman"/>
        </w:rPr>
        <w:t xml:space="preserve">or </w:t>
      </w:r>
      <w:r w:rsidR="00C771AE">
        <w:rPr>
          <w:rFonts w:ascii="Times New Roman" w:hAnsi="Times New Roman"/>
        </w:rPr>
        <w:t>i_s = 1, i_s =3</w:t>
      </w:r>
      <w:r w:rsidR="005303E2">
        <w:rPr>
          <w:rFonts w:ascii="Times New Roman" w:hAnsi="Times New Roman"/>
        </w:rPr>
        <w:t>)</w:t>
      </w:r>
      <w:r w:rsidR="00283EC7" w:rsidRPr="00EE305F">
        <w:rPr>
          <w:rFonts w:ascii="Times New Roman" w:hAnsi="Times New Roman"/>
        </w:rPr>
        <w:t xml:space="preserve">, depending </w:t>
      </w:r>
      <w:r w:rsidR="005303E2">
        <w:rPr>
          <w:rFonts w:ascii="Times New Roman" w:hAnsi="Times New Roman"/>
        </w:rPr>
        <w:t xml:space="preserve">on </w:t>
      </w:r>
      <w:r w:rsidR="00283EC7" w:rsidRPr="00EE305F">
        <w:rPr>
          <w:rFonts w:ascii="Times New Roman" w:hAnsi="Times New Roman"/>
        </w:rPr>
        <w:t>Ns and alternates the PO position associate with NRS in different PF</w:t>
      </w:r>
      <w:r w:rsidR="00283EC7">
        <w:rPr>
          <w:rFonts w:ascii="Times New Roman" w:hAnsi="Times New Roman"/>
        </w:rPr>
        <w:t xml:space="preserve">. </w:t>
      </w:r>
      <w:r w:rsidR="0011192F">
        <w:rPr>
          <w:rFonts w:ascii="Times New Roman" w:hAnsi="Times New Roman"/>
        </w:rPr>
        <w:t xml:space="preserve">To illustrate this, </w:t>
      </w:r>
      <w:r w:rsidR="000E198D">
        <w:rPr>
          <w:rFonts w:ascii="Times New Roman" w:hAnsi="Times New Roman"/>
        </w:rPr>
        <w:t xml:space="preserve">on Figure 1 </w:t>
      </w:r>
      <w:r w:rsidR="0011192F">
        <w:rPr>
          <w:rFonts w:ascii="Times New Roman" w:hAnsi="Times New Roman"/>
        </w:rPr>
        <w:t xml:space="preserve">we plot the R values for 1024 subframes considering </w:t>
      </w:r>
      <w:r w:rsidR="00F514D0" w:rsidRPr="00F514D0">
        <w:rPr>
          <w:rFonts w:ascii="Times New Roman" w:hAnsi="Times New Roman"/>
        </w:rPr>
        <w:t>nB</w:t>
      </w:r>
      <w:r w:rsidR="00F514D0">
        <w:rPr>
          <w:rFonts w:ascii="Times New Roman" w:hAnsi="Times New Roman"/>
        </w:rPr>
        <w:t xml:space="preserve">=4T UE groups with T = 128. </w:t>
      </w:r>
      <w:r w:rsidR="00A60CAF">
        <w:rPr>
          <w:rFonts w:ascii="Times New Roman" w:hAnsi="Times New Roman"/>
        </w:rPr>
        <w:t>We notice that from UE perspective, as it only listens a PO per T radio frames, the density of NRS is not a problem i</w:t>
      </w:r>
      <w:r w:rsidR="00677C05">
        <w:rPr>
          <w:rFonts w:ascii="Times New Roman" w:hAnsi="Times New Roman"/>
        </w:rPr>
        <w:t>f</w:t>
      </w:r>
      <w:r w:rsidR="00A60CAF">
        <w:rPr>
          <w:rFonts w:ascii="Times New Roman" w:hAnsi="Times New Roman"/>
        </w:rPr>
        <w:t xml:space="preserve"> R is used as indicator. However, from the network perspective,</w:t>
      </w:r>
      <w:r w:rsidR="00677C05">
        <w:rPr>
          <w:rFonts w:ascii="Times New Roman" w:hAnsi="Times New Roman"/>
        </w:rPr>
        <w:t xml:space="preserve"> since every</w:t>
      </w:r>
      <w:r w:rsidR="00E769B5">
        <w:rPr>
          <w:rFonts w:ascii="Times New Roman" w:hAnsi="Times New Roman"/>
        </w:rPr>
        <w:t xml:space="preserve"> radio frame is a PF which </w:t>
      </w:r>
      <w:r w:rsidR="00E97F34">
        <w:rPr>
          <w:rFonts w:ascii="Times New Roman" w:hAnsi="Times New Roman"/>
        </w:rPr>
        <w:t xml:space="preserve">has </w:t>
      </w:r>
      <w:r w:rsidR="00E769B5">
        <w:rPr>
          <w:rFonts w:ascii="Times New Roman" w:hAnsi="Times New Roman"/>
        </w:rPr>
        <w:t xml:space="preserve">4 UE groups, </w:t>
      </w:r>
      <w:r w:rsidR="00A60CAF">
        <w:rPr>
          <w:rFonts w:ascii="Times New Roman" w:hAnsi="Times New Roman"/>
        </w:rPr>
        <w:t xml:space="preserve">in each radio frame, at least two UE groups </w:t>
      </w:r>
      <w:r w:rsidR="00057CDC">
        <w:rPr>
          <w:rFonts w:ascii="Times New Roman" w:hAnsi="Times New Roman"/>
        </w:rPr>
        <w:t>have</w:t>
      </w:r>
      <w:r w:rsidR="00A60CAF">
        <w:rPr>
          <w:rFonts w:ascii="Times New Roman" w:hAnsi="Times New Roman"/>
        </w:rPr>
        <w:t xml:space="preserve"> NRS</w:t>
      </w:r>
      <w:r w:rsidR="00057CDC">
        <w:rPr>
          <w:rFonts w:ascii="Times New Roman" w:hAnsi="Times New Roman"/>
        </w:rPr>
        <w:t xml:space="preserve"> associated with their POs. Therefore, the use of R alone </w:t>
      </w:r>
      <w:r w:rsidR="00A91137">
        <w:rPr>
          <w:rFonts w:ascii="Times New Roman" w:hAnsi="Times New Roman"/>
        </w:rPr>
        <w:t>does not necessary serve the purpose of decimation, especially when the value</w:t>
      </w:r>
      <w:r w:rsidR="00EF635B">
        <w:rPr>
          <w:rFonts w:ascii="Times New Roman" w:hAnsi="Times New Roman"/>
        </w:rPr>
        <w:t>s</w:t>
      </w:r>
      <w:r w:rsidR="00A91137">
        <w:rPr>
          <w:rFonts w:ascii="Times New Roman" w:hAnsi="Times New Roman"/>
        </w:rPr>
        <w:t xml:space="preserve"> of M and N are</w:t>
      </w:r>
      <w:r w:rsidR="00EF635B">
        <w:rPr>
          <w:rFonts w:ascii="Times New Roman" w:hAnsi="Times New Roman"/>
        </w:rPr>
        <w:t xml:space="preserve"> large</w:t>
      </w:r>
      <w:r w:rsidR="00677C05">
        <w:rPr>
          <w:rFonts w:ascii="Times New Roman" w:hAnsi="Times New Roman"/>
        </w:rPr>
        <w:t xml:space="preserve">, which leads to NRS </w:t>
      </w:r>
      <w:r w:rsidR="00E769B5">
        <w:rPr>
          <w:rFonts w:ascii="Times New Roman" w:hAnsi="Times New Roman"/>
        </w:rPr>
        <w:t>must</w:t>
      </w:r>
      <w:r w:rsidR="00677C05">
        <w:rPr>
          <w:rFonts w:ascii="Times New Roman" w:hAnsi="Times New Roman"/>
        </w:rPr>
        <w:t xml:space="preserve"> be transmitted in almost every subframes. </w:t>
      </w:r>
    </w:p>
    <w:p w14:paraId="617E4C84" w14:textId="01ABF089" w:rsidR="00196136" w:rsidRPr="00196136" w:rsidRDefault="00196136" w:rsidP="00196136">
      <w:pPr>
        <w:pStyle w:val="Observation"/>
        <w:rPr>
          <w:rFonts w:cs="Arial"/>
        </w:rPr>
      </w:pPr>
      <w:bookmarkStart w:id="8" w:name="_Toc21078246"/>
      <w:r w:rsidRPr="00196136">
        <w:rPr>
          <w:rFonts w:cs="Arial"/>
        </w:rPr>
        <w:t xml:space="preserve">From network perspective, the use of </w:t>
      </w:r>
      <w:r w:rsidRPr="00196136">
        <w:rPr>
          <w:rFonts w:cs="Arial"/>
          <w:lang w:eastAsia="zh-CN"/>
        </w:rPr>
        <w:t>R = (PO_Index+(X div T)) mod 2 results in excessive NRS presence</w:t>
      </w:r>
      <w:r w:rsidR="009917DD">
        <w:rPr>
          <w:rFonts w:cs="Arial"/>
          <w:lang w:eastAsia="zh-CN"/>
        </w:rPr>
        <w:t xml:space="preserve"> for the case of nB=4T and nB=2T</w:t>
      </w:r>
      <w:r w:rsidRPr="00196136">
        <w:rPr>
          <w:rFonts w:cs="Arial"/>
          <w:lang w:eastAsia="zh-CN"/>
        </w:rPr>
        <w:t xml:space="preserve"> especially </w:t>
      </w:r>
      <w:r w:rsidRPr="00196136">
        <w:rPr>
          <w:rFonts w:cs="Arial"/>
        </w:rPr>
        <w:t>when the values of M and N are large.</w:t>
      </w:r>
      <w:bookmarkEnd w:id="8"/>
      <w:r w:rsidRPr="00196136">
        <w:rPr>
          <w:rFonts w:cs="Arial"/>
        </w:rPr>
        <w:t xml:space="preserve"> </w:t>
      </w:r>
    </w:p>
    <w:p w14:paraId="4A8BD301" w14:textId="77777777" w:rsidR="00196136" w:rsidRDefault="00196136" w:rsidP="00283EC7">
      <w:pPr>
        <w:pStyle w:val="BodyText"/>
        <w:rPr>
          <w:rFonts w:ascii="Times New Roman" w:hAnsi="Times New Roman"/>
        </w:rPr>
      </w:pPr>
    </w:p>
    <w:p w14:paraId="7989C2D4" w14:textId="7B7ACBF4" w:rsidR="000E198D" w:rsidRDefault="00037F7E" w:rsidP="000E198D">
      <w:pPr>
        <w:pStyle w:val="BodyText"/>
        <w:keepNext/>
        <w:jc w:val="center"/>
      </w:pPr>
      <w:r w:rsidRPr="00037F7E">
        <w:rPr>
          <w:noProof/>
        </w:rPr>
        <w:drawing>
          <wp:inline distT="0" distB="0" distL="0" distR="0" wp14:anchorId="6BF27AD2" wp14:editId="0E1BFD2F">
            <wp:extent cx="4754728" cy="35996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8011" t="5784" r="2472" b="3109"/>
                    <a:stretch/>
                  </pic:blipFill>
                  <pic:spPr bwMode="auto">
                    <a:xfrm>
                      <a:off x="0" y="0"/>
                      <a:ext cx="4755183" cy="3600000"/>
                    </a:xfrm>
                    <a:prstGeom prst="rect">
                      <a:avLst/>
                    </a:prstGeom>
                    <a:noFill/>
                    <a:ln>
                      <a:noFill/>
                    </a:ln>
                    <a:extLst>
                      <a:ext uri="{53640926-AAD7-44D8-BBD7-CCE9431645EC}">
                        <a14:shadowObscured xmlns:a14="http://schemas.microsoft.com/office/drawing/2010/main"/>
                      </a:ext>
                    </a:extLst>
                  </pic:spPr>
                </pic:pic>
              </a:graphicData>
            </a:graphic>
          </wp:inline>
        </w:drawing>
      </w:r>
    </w:p>
    <w:p w14:paraId="32782E8B" w14:textId="5ECAF4CA" w:rsidR="00021C86" w:rsidRDefault="000E198D" w:rsidP="000E198D">
      <w:pPr>
        <w:pStyle w:val="Caption"/>
        <w:jc w:val="center"/>
      </w:pPr>
      <w:r>
        <w:t xml:space="preserve">Figure </w:t>
      </w:r>
      <w:r w:rsidR="00506FEB">
        <w:fldChar w:fldCharType="begin"/>
      </w:r>
      <w:r w:rsidR="00506FEB">
        <w:instrText xml:space="preserve"> SEQ Figure \* ARABIC </w:instrText>
      </w:r>
      <w:r w:rsidR="00506FEB">
        <w:fldChar w:fldCharType="separate"/>
      </w:r>
      <w:r w:rsidR="009D7443">
        <w:rPr>
          <w:noProof/>
        </w:rPr>
        <w:t>1</w:t>
      </w:r>
      <w:r w:rsidR="00506FEB">
        <w:rPr>
          <w:noProof/>
        </w:rPr>
        <w:fldChar w:fldCharType="end"/>
      </w:r>
      <w:r>
        <w:t xml:space="preserve"> The value of R for SFN 0 to 1023 for the case of nB=4 and T=128. </w:t>
      </w:r>
    </w:p>
    <w:p w14:paraId="23B30E03" w14:textId="7414B8F7" w:rsidR="0034567E" w:rsidRDefault="00312D05" w:rsidP="00D75257">
      <w:pPr>
        <w:pStyle w:val="BodyText"/>
        <w:rPr>
          <w:rFonts w:ascii="Times New Roman" w:hAnsi="Times New Roman"/>
        </w:rPr>
      </w:pPr>
      <w:r>
        <w:rPr>
          <w:rFonts w:ascii="Times New Roman" w:hAnsi="Times New Roman"/>
        </w:rPr>
        <w:t xml:space="preserve">As the problem is caused by two </w:t>
      </w:r>
      <w:r w:rsidR="0096644D">
        <w:rPr>
          <w:rFonts w:ascii="Times New Roman" w:hAnsi="Times New Roman"/>
        </w:rPr>
        <w:t xml:space="preserve">or more </w:t>
      </w:r>
      <w:r>
        <w:rPr>
          <w:rFonts w:ascii="Times New Roman" w:hAnsi="Times New Roman"/>
        </w:rPr>
        <w:t>UE groups with different i_s values</w:t>
      </w:r>
      <w:r w:rsidR="0096644D">
        <w:rPr>
          <w:rFonts w:ascii="Times New Roman" w:hAnsi="Times New Roman"/>
        </w:rPr>
        <w:t xml:space="preserve"> are paged in the same PF, </w:t>
      </w:r>
      <w:r w:rsidR="0034567E">
        <w:rPr>
          <w:rFonts w:ascii="Times New Roman" w:hAnsi="Times New Roman"/>
        </w:rPr>
        <w:t>the use of R only decimates the NRS subframes for the case of Notice that for nB = T and nB = 2/T, i_s is always 0. For the case of nB = 4T and nB = 2T, R results in NRS presents in all radio frames</w:t>
      </w:r>
      <w:r w:rsidR="00E35FE0">
        <w:rPr>
          <w:rFonts w:ascii="Times New Roman" w:hAnsi="Times New Roman"/>
        </w:rPr>
        <w:t xml:space="preserve">. Therefore, we need to apply further constrains for the case of nB = 4T and nB = 2T to ensure reasonable NRS overhead from the network point of view. </w:t>
      </w:r>
    </w:p>
    <w:p w14:paraId="59D40E48" w14:textId="4C36CBB0" w:rsidR="00E35FE0" w:rsidRPr="00830685" w:rsidRDefault="00E35FE0" w:rsidP="00D75257">
      <w:pPr>
        <w:pStyle w:val="BodyText"/>
        <w:rPr>
          <w:rFonts w:ascii="Times New Roman" w:hAnsi="Times New Roman"/>
          <w:lang w:val="en-US"/>
        </w:rPr>
      </w:pPr>
      <w:r>
        <w:rPr>
          <w:rFonts w:ascii="Times New Roman" w:hAnsi="Times New Roman"/>
        </w:rPr>
        <w:t>O</w:t>
      </w:r>
      <w:r w:rsidR="0096644D">
        <w:rPr>
          <w:rFonts w:ascii="Times New Roman" w:hAnsi="Times New Roman"/>
        </w:rPr>
        <w:t xml:space="preserve">ne solution to the problem is </w:t>
      </w:r>
      <w:r w:rsidR="00B02CDD">
        <w:rPr>
          <w:rFonts w:ascii="Times New Roman" w:hAnsi="Times New Roman"/>
        </w:rPr>
        <w:t xml:space="preserve">that for the case of nB = 4T and nB = 2T </w:t>
      </w:r>
      <w:r w:rsidR="0096644D">
        <w:rPr>
          <w:rFonts w:ascii="Times New Roman" w:hAnsi="Times New Roman"/>
        </w:rPr>
        <w:t xml:space="preserve">to </w:t>
      </w:r>
      <w:r w:rsidR="00232000">
        <w:rPr>
          <w:rFonts w:ascii="Times New Roman" w:hAnsi="Times New Roman"/>
        </w:rPr>
        <w:t>further introduc</w:t>
      </w:r>
      <w:r w:rsidR="00794F57">
        <w:rPr>
          <w:rFonts w:ascii="Times New Roman" w:hAnsi="Times New Roman"/>
        </w:rPr>
        <w:t xml:space="preserve">e that </w:t>
      </w:r>
      <w:r w:rsidR="003844D3">
        <w:rPr>
          <w:rFonts w:ascii="Times New Roman" w:hAnsi="Times New Roman"/>
        </w:rPr>
        <w:t xml:space="preserve">NRS appears every </w:t>
      </w:r>
      <w:r w:rsidR="00830685" w:rsidRPr="00830685">
        <w:rPr>
          <w:rFonts w:ascii="Times New Roman" w:hAnsi="Times New Roman"/>
          <w:i/>
        </w:rPr>
        <w:t>l</w:t>
      </w:r>
      <w:r w:rsidR="00830685" w:rsidRPr="00830685">
        <w:rPr>
          <w:rFonts w:ascii="Times New Roman" w:hAnsi="Times New Roman"/>
          <w:vertAlign w:val="superscript"/>
        </w:rPr>
        <w:t>th</w:t>
      </w:r>
      <w:r w:rsidR="00830685">
        <w:rPr>
          <w:rFonts w:ascii="Times New Roman" w:hAnsi="Times New Roman"/>
        </w:rPr>
        <w:t xml:space="preserve"> radio frame, where </w:t>
      </w:r>
      <w:r w:rsidR="00830685" w:rsidRPr="00830685">
        <w:rPr>
          <w:rFonts w:ascii="Times New Roman" w:hAnsi="Times New Roman"/>
          <w:i/>
        </w:rPr>
        <w:t>l</w:t>
      </w:r>
      <w:r w:rsidR="00830685">
        <w:rPr>
          <w:rFonts w:ascii="Times New Roman" w:hAnsi="Times New Roman"/>
          <w:i/>
        </w:rPr>
        <w:t xml:space="preserve"> </w:t>
      </w:r>
      <w:r w:rsidR="00830685">
        <w:rPr>
          <w:rFonts w:ascii="Times New Roman" w:hAnsi="Times New Roman"/>
        </w:rPr>
        <w:t xml:space="preserve">can either be </w:t>
      </w:r>
      <w:r w:rsidR="00B02CDD">
        <w:rPr>
          <w:rFonts w:ascii="Times New Roman" w:hAnsi="Times New Roman"/>
        </w:rPr>
        <w:t>signalled or specified in the spec.</w:t>
      </w:r>
      <w:r w:rsidR="005B547B">
        <w:rPr>
          <w:rFonts w:ascii="Times New Roman" w:hAnsi="Times New Roman"/>
        </w:rPr>
        <w:t xml:space="preserve"> The use of </w:t>
      </w:r>
      <w:r w:rsidR="005B547B" w:rsidRPr="005B547B">
        <w:rPr>
          <w:rFonts w:ascii="Times New Roman" w:hAnsi="Times New Roman"/>
          <w:i/>
        </w:rPr>
        <w:t>l</w:t>
      </w:r>
      <w:r w:rsidR="005B547B">
        <w:rPr>
          <w:rFonts w:ascii="Times New Roman" w:hAnsi="Times New Roman"/>
        </w:rPr>
        <w:t xml:space="preserve"> together with R can result in a</w:t>
      </w:r>
      <w:r w:rsidR="00843250">
        <w:rPr>
          <w:rFonts w:ascii="Times New Roman" w:hAnsi="Times New Roman"/>
        </w:rPr>
        <w:t xml:space="preserve"> balance between NRS overhead and UE performance. </w:t>
      </w:r>
      <w:r w:rsidR="005B547B">
        <w:rPr>
          <w:rFonts w:ascii="Times New Roman" w:hAnsi="Times New Roman"/>
        </w:rPr>
        <w:t xml:space="preserve"> </w:t>
      </w:r>
    </w:p>
    <w:p w14:paraId="75B48A12" w14:textId="560121AB" w:rsidR="00196136" w:rsidRDefault="00E769B5" w:rsidP="004D2BC3">
      <w:pPr>
        <w:pStyle w:val="BodyText"/>
        <w:rPr>
          <w:rFonts w:ascii="Times New Roman" w:hAnsi="Times New Roman"/>
        </w:rPr>
      </w:pPr>
      <w:r>
        <w:rPr>
          <w:rFonts w:ascii="Times New Roman" w:hAnsi="Times New Roman"/>
        </w:rPr>
        <w:t>Furthermore</w:t>
      </w:r>
      <w:r w:rsidR="007314F4">
        <w:rPr>
          <w:rFonts w:ascii="Times New Roman" w:hAnsi="Times New Roman"/>
        </w:rPr>
        <w:t>, we notice</w:t>
      </w:r>
      <w:r w:rsidR="0041469D">
        <w:rPr>
          <w:rFonts w:ascii="Times New Roman" w:hAnsi="Times New Roman"/>
        </w:rPr>
        <w:t>d</w:t>
      </w:r>
      <w:r w:rsidR="00EA4E76">
        <w:rPr>
          <w:rFonts w:ascii="Times New Roman" w:hAnsi="Times New Roman"/>
        </w:rPr>
        <w:t xml:space="preserve"> that </w:t>
      </w:r>
      <w:r w:rsidR="004D2BC3">
        <w:rPr>
          <w:rFonts w:ascii="Times New Roman" w:hAnsi="Times New Roman"/>
        </w:rPr>
        <w:t xml:space="preserve">the inclusion of hyper SFN </w:t>
      </w:r>
      <w:r w:rsidR="00EF4568">
        <w:rPr>
          <w:rFonts w:ascii="Times New Roman" w:hAnsi="Times New Roman"/>
        </w:rPr>
        <w:t>(H</w:t>
      </w:r>
      <w:r w:rsidR="001E6067">
        <w:rPr>
          <w:rFonts w:ascii="Times New Roman" w:hAnsi="Times New Roman"/>
        </w:rPr>
        <w:t>-S</w:t>
      </w:r>
      <w:r w:rsidR="00EF4568">
        <w:rPr>
          <w:rFonts w:ascii="Times New Roman" w:hAnsi="Times New Roman"/>
        </w:rPr>
        <w:t xml:space="preserve">FN) </w:t>
      </w:r>
      <w:r w:rsidR="004D2BC3">
        <w:rPr>
          <w:rFonts w:ascii="Times New Roman" w:hAnsi="Times New Roman"/>
        </w:rPr>
        <w:t>has no effect on the alternating patterns</w:t>
      </w:r>
      <w:r w:rsidR="00FB0CDD">
        <w:rPr>
          <w:rFonts w:ascii="Times New Roman" w:hAnsi="Times New Roman"/>
        </w:rPr>
        <w:t>.</w:t>
      </w:r>
      <w:r w:rsidR="003A1F65">
        <w:rPr>
          <w:rFonts w:ascii="Times New Roman" w:hAnsi="Times New Roman"/>
        </w:rPr>
        <w:t xml:space="preserve"> </w:t>
      </w:r>
      <w:r w:rsidR="00770E41">
        <w:rPr>
          <w:rFonts w:ascii="Times New Roman" w:hAnsi="Times New Roman"/>
        </w:rPr>
        <w:t>Since</w:t>
      </w:r>
      <w:r w:rsidR="00B54413">
        <w:rPr>
          <w:rFonts w:ascii="Times New Roman" w:hAnsi="Times New Roman"/>
          <w:lang w:val="en-US"/>
        </w:rPr>
        <w:t xml:space="preserve"> </w:t>
      </w:r>
      <w:r w:rsidR="00CF4665">
        <w:rPr>
          <w:rFonts w:ascii="Times New Roman" w:hAnsi="Times New Roman"/>
          <w:lang w:val="en-US"/>
        </w:rPr>
        <w:t xml:space="preserve">the values of </w:t>
      </w:r>
      <w:r w:rsidR="00B54413">
        <w:rPr>
          <w:rFonts w:ascii="Times New Roman" w:hAnsi="Times New Roman"/>
          <w:lang w:val="en-US"/>
        </w:rPr>
        <w:t>T is cho</w:t>
      </w:r>
      <w:r w:rsidR="00CF4665">
        <w:rPr>
          <w:rFonts w:ascii="Times New Roman" w:hAnsi="Times New Roman"/>
          <w:lang w:val="en-US"/>
        </w:rPr>
        <w:t>sen</w:t>
      </w:r>
      <w:r w:rsidR="00B54413">
        <w:rPr>
          <w:rFonts w:ascii="Times New Roman" w:hAnsi="Times New Roman"/>
          <w:lang w:val="en-US"/>
        </w:rPr>
        <w:t xml:space="preserve"> </w:t>
      </w:r>
      <w:r w:rsidR="00CF4665">
        <w:rPr>
          <w:rFonts w:ascii="Times New Roman" w:hAnsi="Times New Roman"/>
          <w:lang w:val="en-US"/>
        </w:rPr>
        <w:t>as integer divisor of</w:t>
      </w:r>
      <w:r w:rsidR="00C67E14">
        <w:rPr>
          <w:rFonts w:ascii="Times New Roman" w:hAnsi="Times New Roman"/>
          <w:lang w:val="en-US"/>
        </w:rPr>
        <w:t xml:space="preserve"> SFN, it is not necessary to in</w:t>
      </w:r>
      <w:r w:rsidR="00053393">
        <w:rPr>
          <w:rFonts w:ascii="Times New Roman" w:hAnsi="Times New Roman"/>
          <w:lang w:val="en-US"/>
        </w:rPr>
        <w:t xml:space="preserve">clude H-SFN in the formula. This is the same when PF is calculated, where SFN is the only factor that determines the PF. </w:t>
      </w:r>
      <w:r w:rsidR="00754C1A">
        <w:rPr>
          <w:rFonts w:ascii="Times New Roman" w:hAnsi="Times New Roman"/>
        </w:rPr>
        <w:t xml:space="preserve">Furthermore, the same definition of T should be used as in the determining of PF. </w:t>
      </w:r>
    </w:p>
    <w:p w14:paraId="70AA524B" w14:textId="77777777" w:rsidR="009C31AA" w:rsidRPr="00C71E8F" w:rsidRDefault="009C31AA" w:rsidP="009C31AA">
      <w:pPr>
        <w:pStyle w:val="Observation"/>
        <w:rPr>
          <w:rFonts w:cs="Arial"/>
        </w:rPr>
      </w:pPr>
      <w:bookmarkStart w:id="9" w:name="_Toc21078247"/>
      <w:r w:rsidRPr="00C71E8F">
        <w:rPr>
          <w:rFonts w:cs="Arial"/>
        </w:rPr>
        <w:t>It is not necessary to include hyper SFN values in the calculation of R.</w:t>
      </w:r>
      <w:bookmarkEnd w:id="9"/>
      <w:r w:rsidRPr="00C71E8F">
        <w:rPr>
          <w:rFonts w:cs="Arial"/>
        </w:rPr>
        <w:t xml:space="preserve"> </w:t>
      </w:r>
    </w:p>
    <w:p w14:paraId="2D5EA82B" w14:textId="77777777" w:rsidR="004043B2" w:rsidRDefault="00D75257" w:rsidP="004043B2">
      <w:pPr>
        <w:pStyle w:val="BodyText"/>
        <w:rPr>
          <w:rFonts w:ascii="Times New Roman" w:hAnsi="Times New Roman"/>
        </w:rPr>
      </w:pPr>
      <w:r>
        <w:rPr>
          <w:rFonts w:ascii="Times New Roman" w:hAnsi="Times New Roman"/>
        </w:rPr>
        <w:t xml:space="preserve">Hence, it is proposed that </w:t>
      </w:r>
    </w:p>
    <w:p w14:paraId="2C091DF9" w14:textId="35BAFDF4" w:rsidR="004043B2" w:rsidRPr="00C81848" w:rsidRDefault="004043B2" w:rsidP="00C81848">
      <w:pPr>
        <w:pStyle w:val="Proposal"/>
        <w:rPr>
          <w:rFonts w:ascii="Times New Roman" w:hAnsi="Times New Roman"/>
        </w:rPr>
      </w:pPr>
      <w:bookmarkStart w:id="10" w:name="_Toc21078250"/>
      <w:r w:rsidRPr="00F2203A">
        <w:rPr>
          <w:lang w:val="en-US"/>
        </w:rPr>
        <w:t>For the case when nB=</w:t>
      </w:r>
      <w:r>
        <w:rPr>
          <w:lang w:val="en-US"/>
        </w:rPr>
        <w:t xml:space="preserve"> T and nB=</w:t>
      </w:r>
      <w:r w:rsidRPr="00F2203A">
        <w:rPr>
          <w:lang w:val="en-US"/>
        </w:rPr>
        <w:t>T/2, the decimation pattern is based on the formul</w:t>
      </w:r>
      <w:r w:rsidR="00C81848">
        <w:rPr>
          <w:lang w:val="en-US"/>
        </w:rPr>
        <w:t>a</w:t>
      </w:r>
      <w:r w:rsidR="00C81848" w:rsidRPr="00C81848">
        <w:rPr>
          <w:rFonts w:cs="Arial"/>
        </w:rPr>
        <w:t xml:space="preserve"> </w:t>
      </w:r>
      <w:r w:rsidR="00C81848" w:rsidRPr="009C31AA">
        <w:rPr>
          <w:rFonts w:cs="Arial"/>
        </w:rPr>
        <w:t>R = (PO_Index+( SFN div T)) mod 2</w:t>
      </w:r>
      <w:bookmarkEnd w:id="10"/>
      <w:r w:rsidR="00FE07CC">
        <w:rPr>
          <w:rFonts w:cs="Arial"/>
        </w:rPr>
        <w:t xml:space="preserve">. </w:t>
      </w:r>
    </w:p>
    <w:p w14:paraId="74CFAF2C" w14:textId="77777777" w:rsidR="004043B2" w:rsidRPr="009C31AA" w:rsidRDefault="004043B2" w:rsidP="004043B2">
      <w:pPr>
        <w:pStyle w:val="Proposal"/>
        <w:numPr>
          <w:ilvl w:val="0"/>
          <w:numId w:val="38"/>
        </w:numPr>
        <w:rPr>
          <w:rFonts w:cs="Arial"/>
        </w:rPr>
      </w:pPr>
      <w:bookmarkStart w:id="11" w:name="_Toc21078251"/>
      <w:r w:rsidRPr="009C31AA">
        <w:rPr>
          <w:rFonts w:cs="Arial"/>
        </w:rPr>
        <w:t>PO_Index is the index of the PO within one DRX cycle: PO_Index = (SFN/Ns * N) mod T</w:t>
      </w:r>
      <w:bookmarkEnd w:id="11"/>
    </w:p>
    <w:p w14:paraId="5E802365" w14:textId="77777777" w:rsidR="004043B2" w:rsidRPr="009C31AA" w:rsidRDefault="004043B2" w:rsidP="004043B2">
      <w:pPr>
        <w:pStyle w:val="Proposal"/>
        <w:numPr>
          <w:ilvl w:val="0"/>
          <w:numId w:val="38"/>
        </w:numPr>
        <w:rPr>
          <w:rFonts w:cs="Arial"/>
        </w:rPr>
      </w:pPr>
      <w:bookmarkStart w:id="12" w:name="_Toc21078252"/>
      <w:r w:rsidRPr="009C31AA">
        <w:rPr>
          <w:rFonts w:cs="Arial"/>
        </w:rPr>
        <w:t>T is the DRX cycle measured in radio frames defined in the RAN2 specification.</w:t>
      </w:r>
      <w:bookmarkEnd w:id="12"/>
    </w:p>
    <w:p w14:paraId="74DAAFA2" w14:textId="77777777" w:rsidR="004043B2" w:rsidRPr="009C31AA" w:rsidRDefault="004043B2" w:rsidP="004043B2">
      <w:pPr>
        <w:pStyle w:val="Proposal"/>
        <w:numPr>
          <w:ilvl w:val="0"/>
          <w:numId w:val="0"/>
        </w:numPr>
        <w:ind w:left="1701"/>
        <w:rPr>
          <w:rFonts w:cs="Arial"/>
        </w:rPr>
      </w:pPr>
      <w:bookmarkStart w:id="13" w:name="_Toc21078253"/>
      <w:r w:rsidRPr="009C31AA">
        <w:rPr>
          <w:rFonts w:cs="Arial"/>
        </w:rPr>
        <w:t>If R=1, the PO has NRS associated with it. If R=0 the PO does not have NRS associated with it.</w:t>
      </w:r>
      <w:bookmarkEnd w:id="13"/>
    </w:p>
    <w:p w14:paraId="0ABD13BE" w14:textId="6E753DB0" w:rsidR="004043B2" w:rsidRDefault="004043B2" w:rsidP="004043B2">
      <w:pPr>
        <w:pStyle w:val="BodyText"/>
        <w:rPr>
          <w:rFonts w:ascii="Times New Roman" w:hAnsi="Times New Roman"/>
        </w:rPr>
      </w:pPr>
      <w:r w:rsidRPr="004043B2">
        <w:rPr>
          <w:rFonts w:ascii="Times New Roman" w:hAnsi="Times New Roman"/>
        </w:rPr>
        <w:t xml:space="preserve">In order to reduce the NRS overhead, it is preferred that the values of M and N for each PO should not be the same for all the nB values. For example, for the densest case, i.e., nB=4T or nB=2T it requires much smaller values of M and N, otherwise the entire radio frame will be populated with NRS. In order to provide flexibility at the network side and ensure co-existence and resource sharing between NB-IoT in-band deployment and LTE, it is better to have M and N configurable by the network. Therefore, it is proposed that </w:t>
      </w:r>
    </w:p>
    <w:p w14:paraId="1740CF3F" w14:textId="77777777" w:rsidR="004043B2" w:rsidRPr="000941BD" w:rsidRDefault="004043B2" w:rsidP="004043B2">
      <w:pPr>
        <w:pStyle w:val="Proposal"/>
      </w:pPr>
      <w:bookmarkStart w:id="14" w:name="_Toc21078254"/>
      <w:r>
        <w:rPr>
          <w:lang w:val="en-US"/>
        </w:rPr>
        <w:t xml:space="preserve">For the case </w:t>
      </w:r>
      <w:r w:rsidRPr="00E77C08">
        <w:rPr>
          <w:lang w:val="en-US"/>
        </w:rPr>
        <w:t xml:space="preserve">when </w:t>
      </w:r>
      <w:r w:rsidRPr="00F2203A">
        <w:rPr>
          <w:lang w:val="en-US"/>
        </w:rPr>
        <w:t>nB=</w:t>
      </w:r>
      <w:r>
        <w:rPr>
          <w:lang w:val="en-US"/>
        </w:rPr>
        <w:t xml:space="preserve"> 4T and nB=2</w:t>
      </w:r>
      <w:r w:rsidRPr="00F2203A">
        <w:rPr>
          <w:lang w:val="en-US"/>
        </w:rPr>
        <w:t>T</w:t>
      </w:r>
      <w:r>
        <w:rPr>
          <w:lang w:val="en-US"/>
        </w:rPr>
        <w:t xml:space="preserve">, further introduce a parameter </w:t>
      </w:r>
      <w:r w:rsidRPr="004439D5">
        <w:rPr>
          <w:rFonts w:ascii="Times" w:hAnsi="Times" w:cs="Times"/>
          <w:i/>
          <w:lang w:val="en-US"/>
        </w:rPr>
        <w:t>l</w:t>
      </w:r>
      <w:r>
        <w:rPr>
          <w:lang w:val="en-US"/>
        </w:rPr>
        <w:t xml:space="preserve"> together with R to determine the PO that has </w:t>
      </w:r>
      <w:r w:rsidRPr="009C31AA">
        <w:t>NRS associated with it</w:t>
      </w:r>
      <w:r>
        <w:t xml:space="preserve">. </w:t>
      </w:r>
      <w:r w:rsidRPr="009C31AA">
        <w:t>If R=1</w:t>
      </w:r>
      <w:r>
        <w:t xml:space="preserve"> and (SFN mode </w:t>
      </w:r>
      <w:r w:rsidRPr="004439D5">
        <w:rPr>
          <w:rFonts w:ascii="Times" w:hAnsi="Times" w:cs="Times"/>
          <w:i/>
          <w:lang w:val="en-US"/>
        </w:rPr>
        <w:t>l</w:t>
      </w:r>
      <w:r>
        <w:t xml:space="preserve">) == 0, </w:t>
      </w:r>
      <w:r w:rsidRPr="009C31AA">
        <w:lastRenderedPageBreak/>
        <w:t>the PO has NRS associated with it. If R=0 the PO does not have NRS associated with it.</w:t>
      </w:r>
      <w:bookmarkEnd w:id="14"/>
    </w:p>
    <w:p w14:paraId="765E9640" w14:textId="0C39CD72" w:rsidR="00587F78" w:rsidRDefault="004043B2" w:rsidP="00EC7907">
      <w:pPr>
        <w:pStyle w:val="BodyText"/>
        <w:rPr>
          <w:rFonts w:ascii="Times New Roman" w:hAnsi="Times New Roman"/>
          <w:b/>
          <w:bCs/>
        </w:rPr>
      </w:pPr>
      <w:r w:rsidRPr="004043B2">
        <w:rPr>
          <w:rFonts w:ascii="Times New Roman" w:hAnsi="Times New Roman"/>
        </w:rPr>
        <w:t>Furthermore, as the procedures in determining of PF and POs are captured in the RAN2 spec, it is preferred that the procedures of determining POs associated with NRSs should also be captured in the same place. Therefore, it is proposed that</w:t>
      </w:r>
    </w:p>
    <w:p w14:paraId="16EFB1C9" w14:textId="41B47F85" w:rsidR="005A7B89" w:rsidRDefault="00EE305F" w:rsidP="005A7B89">
      <w:pPr>
        <w:pStyle w:val="Proposal"/>
        <w:rPr>
          <w:lang w:val="en-US"/>
        </w:rPr>
      </w:pPr>
      <w:bookmarkStart w:id="15" w:name="_Toc21078255"/>
      <w:r>
        <w:rPr>
          <w:lang w:val="en-US"/>
        </w:rPr>
        <w:t xml:space="preserve">For the case </w:t>
      </w:r>
      <w:r w:rsidRPr="00E77C08">
        <w:rPr>
          <w:lang w:val="en-US"/>
        </w:rPr>
        <w:t>when nB&gt;=T/2</w:t>
      </w:r>
      <w:r>
        <w:rPr>
          <w:lang w:val="en-US"/>
        </w:rPr>
        <w:t>, the network configures the values of M and N. The possible values of M and N are s</w:t>
      </w:r>
      <w:r w:rsidR="00574BB0">
        <w:rPr>
          <w:lang w:val="en-US"/>
        </w:rPr>
        <w:t>elected</w:t>
      </w:r>
      <w:r>
        <w:rPr>
          <w:lang w:val="en-US"/>
        </w:rPr>
        <w:t xml:space="preserve"> from the set {0, 1, 2, 3, 4}, and M and N cannot be zero at the same time.</w:t>
      </w:r>
      <w:bookmarkEnd w:id="15"/>
    </w:p>
    <w:p w14:paraId="5CC5194A" w14:textId="5E97C0CE" w:rsidR="005A638B" w:rsidRDefault="005A638B" w:rsidP="005A638B">
      <w:pPr>
        <w:pStyle w:val="Proposal"/>
        <w:rPr>
          <w:lang w:val="en-US"/>
        </w:rPr>
      </w:pPr>
      <w:bookmarkStart w:id="16" w:name="_Toc21078256"/>
      <w:r>
        <w:rPr>
          <w:lang w:val="en-US"/>
        </w:rPr>
        <w:t xml:space="preserve">Send LS to RAN2 to capture the </w:t>
      </w:r>
      <w:r w:rsidRPr="005A638B">
        <w:rPr>
          <w:lang w:val="en-US"/>
        </w:rPr>
        <w:t>POs associated with NRSs</w:t>
      </w:r>
      <w:r w:rsidR="00D5452D">
        <w:rPr>
          <w:lang w:val="en-US"/>
        </w:rPr>
        <w:t xml:space="preserve">, the values of M and N </w:t>
      </w:r>
      <w:r>
        <w:rPr>
          <w:lang w:val="en-US"/>
        </w:rPr>
        <w:t>for each UE group</w:t>
      </w:r>
      <w:r w:rsidR="005E2969">
        <w:rPr>
          <w:lang w:val="en-US"/>
        </w:rPr>
        <w:t xml:space="preserve"> </w:t>
      </w:r>
      <w:r w:rsidR="00ED0342">
        <w:rPr>
          <w:lang w:val="en-US"/>
        </w:rPr>
        <w:t>in the RAN2 spec</w:t>
      </w:r>
      <w:r w:rsidR="00D5452D">
        <w:rPr>
          <w:lang w:val="en-US"/>
        </w:rPr>
        <w:t xml:space="preserve"> after RAN1 reaches agreement</w:t>
      </w:r>
      <w:r>
        <w:rPr>
          <w:lang w:val="en-US"/>
        </w:rPr>
        <w:t>.</w:t>
      </w:r>
      <w:bookmarkEnd w:id="16"/>
    </w:p>
    <w:p w14:paraId="6EBD505C" w14:textId="2C1E495B" w:rsidR="00346853" w:rsidRDefault="00346853" w:rsidP="00DC0667">
      <w:pPr>
        <w:pStyle w:val="Heading2"/>
        <w:numPr>
          <w:ilvl w:val="1"/>
          <w:numId w:val="17"/>
        </w:numPr>
      </w:pPr>
      <w:r w:rsidRPr="00346853">
        <w:t>FFS on considering the presence of CRS</w:t>
      </w:r>
    </w:p>
    <w:p w14:paraId="6FC0DB58" w14:textId="4DFC4724" w:rsidR="00346853" w:rsidRPr="00C13DA3" w:rsidRDefault="00346853" w:rsidP="003A11F6">
      <w:pPr>
        <w:jc w:val="both"/>
      </w:pPr>
      <w:r w:rsidRPr="00C13DA3">
        <w:t>In RAN</w:t>
      </w:r>
      <w:r w:rsidR="00FE021E" w:rsidRPr="00C13DA3">
        <w:t xml:space="preserve"> #96 it was let for Further Study, considering the possibility of mak</w:t>
      </w:r>
      <w:r w:rsidR="003A11F6" w:rsidRPr="00C13DA3">
        <w:t>ing</w:t>
      </w:r>
      <w:r w:rsidR="00FE021E" w:rsidRPr="00C13DA3">
        <w:t xml:space="preserve"> the UEs aware of the presence of CRS in non-anchor carriers in subframes not containing NRS.</w:t>
      </w:r>
      <w:r w:rsidR="003A11F6" w:rsidRPr="00C13DA3">
        <w:t xml:space="preserve"> The note captured in the Chairman’s notes states the following:</w:t>
      </w:r>
    </w:p>
    <w:tbl>
      <w:tblPr>
        <w:tblStyle w:val="TableGrid"/>
        <w:tblW w:w="0" w:type="auto"/>
        <w:tblLook w:val="04A0" w:firstRow="1" w:lastRow="0" w:firstColumn="1" w:lastColumn="0" w:noHBand="0" w:noVBand="1"/>
      </w:tblPr>
      <w:tblGrid>
        <w:gridCol w:w="9629"/>
      </w:tblGrid>
      <w:tr w:rsidR="003A11F6" w14:paraId="28D8C662" w14:textId="77777777" w:rsidTr="003A11F6">
        <w:tc>
          <w:tcPr>
            <w:tcW w:w="9629" w:type="dxa"/>
          </w:tcPr>
          <w:p w14:paraId="23020F0F" w14:textId="77777777" w:rsidR="003A11F6" w:rsidRPr="007F6428" w:rsidRDefault="003A11F6" w:rsidP="003A11F6">
            <w:pPr>
              <w:pStyle w:val="NormalWeb"/>
              <w:spacing w:before="0" w:beforeAutospacing="0" w:after="0" w:afterAutospacing="0"/>
              <w:rPr>
                <w:sz w:val="20"/>
                <w:lang w:val="en-US"/>
              </w:rPr>
            </w:pPr>
            <w:r w:rsidRPr="007F6428">
              <w:rPr>
                <w:rFonts w:ascii="Times" w:eastAsia="Batang" w:hAnsi="Times"/>
                <w:b/>
                <w:bCs/>
                <w:color w:val="000000"/>
                <w:kern w:val="24"/>
                <w:sz w:val="16"/>
                <w:szCs w:val="20"/>
                <w:lang w:val="en-GB"/>
              </w:rPr>
              <w:t>For further study in future meetings:</w:t>
            </w:r>
          </w:p>
          <w:p w14:paraId="3D956F3A" w14:textId="5BE75380" w:rsidR="003A11F6" w:rsidRPr="003A11F6" w:rsidRDefault="003A11F6" w:rsidP="003A11F6">
            <w:pPr>
              <w:pStyle w:val="NormalWeb"/>
              <w:spacing w:before="0" w:beforeAutospacing="0" w:after="0" w:afterAutospacing="0"/>
              <w:rPr>
                <w:sz w:val="20"/>
                <w:lang w:val="en-US"/>
              </w:rPr>
            </w:pPr>
            <w:r w:rsidRPr="007F6428">
              <w:rPr>
                <w:rFonts w:ascii="Times" w:eastAsia="Batang" w:hAnsi="Times"/>
                <w:color w:val="000000"/>
                <w:kern w:val="24"/>
                <w:sz w:val="16"/>
                <w:szCs w:val="20"/>
                <w:lang w:val="en-GB"/>
              </w:rPr>
              <w:t xml:space="preserve">RAN1 to consider </w:t>
            </w:r>
            <w:bookmarkStart w:id="17" w:name="_Hlk3886081"/>
            <w:r w:rsidRPr="007F6428">
              <w:rPr>
                <w:rFonts w:ascii="Times" w:eastAsia="Batang" w:hAnsi="Times"/>
                <w:color w:val="000000"/>
                <w:kern w:val="24"/>
                <w:sz w:val="16"/>
                <w:szCs w:val="20"/>
                <w:lang w:val="en-GB"/>
              </w:rPr>
              <w:t>enabling presence of CRS in non-anchor carriers in subframes not containing NRS</w:t>
            </w:r>
            <w:bookmarkEnd w:id="17"/>
            <w:r w:rsidRPr="007F6428">
              <w:rPr>
                <w:rFonts w:ascii="Times" w:eastAsia="Batang" w:hAnsi="Times"/>
                <w:color w:val="000000"/>
                <w:kern w:val="24"/>
                <w:sz w:val="16"/>
                <w:szCs w:val="20"/>
                <w:lang w:val="en-GB"/>
              </w:rPr>
              <w:t>.</w:t>
            </w:r>
          </w:p>
        </w:tc>
      </w:tr>
    </w:tbl>
    <w:p w14:paraId="50510A5C" w14:textId="77777777" w:rsidR="003A11F6" w:rsidRPr="00346853" w:rsidRDefault="003A11F6" w:rsidP="00346853">
      <w:pPr>
        <w:rPr>
          <w:rFonts w:ascii="Arial" w:hAnsi="Arial" w:cs="Arial"/>
        </w:rPr>
      </w:pPr>
    </w:p>
    <w:p w14:paraId="7C39B95A" w14:textId="6736CCC4" w:rsidR="00290C06" w:rsidRPr="00C13DA3" w:rsidRDefault="003B66EE" w:rsidP="00271D06">
      <w:pPr>
        <w:jc w:val="both"/>
      </w:pPr>
      <w:r w:rsidRPr="00C13DA3">
        <w:t>The first thing to mention</w:t>
      </w:r>
      <w:r w:rsidR="00290C06" w:rsidRPr="00C13DA3">
        <w:t xml:space="preserve"> is that the above will be applicable for </w:t>
      </w:r>
      <w:r w:rsidR="00B021BA">
        <w:t>n</w:t>
      </w:r>
      <w:r w:rsidR="00290C06" w:rsidRPr="00C13DA3">
        <w:t xml:space="preserve">on-anchor carriers in-band operation, and that in the past it has been studied the possibility of using CRS for measurement enhancement. </w:t>
      </w:r>
      <w:bookmarkStart w:id="18" w:name="_Hlk3887028"/>
      <w:r w:rsidR="00933404" w:rsidRPr="00C13DA3">
        <w:t>In</w:t>
      </w:r>
      <w:r w:rsidR="00933404">
        <w:t xml:space="preserve"> </w:t>
      </w:r>
      <w:r w:rsidR="00933404">
        <w:fldChar w:fldCharType="begin"/>
      </w:r>
      <w:r w:rsidR="00933404">
        <w:instrText xml:space="preserve"> REF _Ref20998975 \r \h </w:instrText>
      </w:r>
      <w:r w:rsidR="00933404">
        <w:fldChar w:fldCharType="separate"/>
      </w:r>
      <w:r w:rsidR="009D7443">
        <w:t>[5]</w:t>
      </w:r>
      <w:r w:rsidR="00933404">
        <w:fldChar w:fldCharType="end"/>
      </w:r>
      <w:r w:rsidR="00933404">
        <w:t xml:space="preserve"> it </w:t>
      </w:r>
      <w:r w:rsidR="00290C06" w:rsidRPr="00C13DA3">
        <w:t>evaluated the combined usage of CRS and NRS for measurement enhancement purposes</w:t>
      </w:r>
      <w:bookmarkEnd w:id="18"/>
      <w:r w:rsidR="00290C06" w:rsidRPr="00C13DA3">
        <w:t>:</w:t>
      </w:r>
    </w:p>
    <w:p w14:paraId="3FCC475D" w14:textId="499840DE" w:rsidR="003A11F6" w:rsidRPr="00C13DA3" w:rsidRDefault="00290C06" w:rsidP="00271D06">
      <w:pPr>
        <w:jc w:val="both"/>
      </w:pPr>
      <w:r w:rsidRPr="00C13DA3">
        <w:t>“</w:t>
      </w:r>
      <w:r w:rsidRPr="00C13DA3">
        <w:rPr>
          <w:i/>
        </w:rPr>
        <w:t>we evaluate the measurement accuracy based on CRS+NRS at 164 MCL with UE noise figure 5 dB and 9 dB. The transmit power of NRS is boosted 6 dB over CRS according to 36.104, and other simulation assumptions can be found in [2].</w:t>
      </w:r>
      <w:r w:rsidRPr="00C13DA3">
        <w:t>”</w:t>
      </w:r>
    </w:p>
    <w:p w14:paraId="70FD4E13" w14:textId="1254B0B5" w:rsidR="00290C06" w:rsidRPr="00C13DA3" w:rsidRDefault="00290C06" w:rsidP="00271D06">
      <w:pPr>
        <w:jc w:val="both"/>
      </w:pPr>
      <w:r w:rsidRPr="00C13DA3">
        <w:t xml:space="preserve">The detailed </w:t>
      </w:r>
      <w:r w:rsidR="00674413" w:rsidRPr="00C13DA3">
        <w:t xml:space="preserve">obtained </w:t>
      </w:r>
      <w:r w:rsidRPr="00C13DA3">
        <w:t xml:space="preserve">results can be found in Table 1 of </w:t>
      </w:r>
      <w:r w:rsidR="00933404">
        <w:fldChar w:fldCharType="begin"/>
      </w:r>
      <w:r w:rsidR="00933404">
        <w:instrText xml:space="preserve"> REF _Ref20998975 \r \h </w:instrText>
      </w:r>
      <w:r w:rsidR="00933404">
        <w:fldChar w:fldCharType="separate"/>
      </w:r>
      <w:r w:rsidR="009D7443">
        <w:t>[5]</w:t>
      </w:r>
      <w:r w:rsidR="00933404">
        <w:fldChar w:fldCharType="end"/>
      </w:r>
      <w:r w:rsidR="00674413" w:rsidRPr="00C13DA3">
        <w:t xml:space="preserve">, while the </w:t>
      </w:r>
      <w:r w:rsidR="00B021BA">
        <w:t xml:space="preserve">main </w:t>
      </w:r>
      <w:r w:rsidR="00674413" w:rsidRPr="00C13DA3">
        <w:t>conclusion was as follows:</w:t>
      </w:r>
    </w:p>
    <w:p w14:paraId="48A72EB3" w14:textId="1ACA7C8D" w:rsidR="00674413" w:rsidRDefault="00674413" w:rsidP="00271D06">
      <w:pPr>
        <w:jc w:val="both"/>
      </w:pPr>
      <w:r w:rsidRPr="00C13DA3">
        <w:t>“</w:t>
      </w:r>
      <w:r w:rsidRPr="00C13DA3">
        <w:rPr>
          <w:i/>
        </w:rPr>
        <w:t>From the results, we can see that the measurement accuracy based on CRS+NRS is worse than that based on NRS only for both NF values due to the lower CRS transmit power</w:t>
      </w:r>
      <w:r w:rsidRPr="00C13DA3">
        <w:t>”</w:t>
      </w:r>
      <w:r w:rsidR="00271D06" w:rsidRPr="00C13DA3">
        <w:t>.</w:t>
      </w:r>
    </w:p>
    <w:p w14:paraId="6518EF75" w14:textId="55540C55" w:rsidR="00B021BA" w:rsidRPr="00C13DA3" w:rsidRDefault="00FA4001" w:rsidP="00B021BA">
      <w:pPr>
        <w:pStyle w:val="Observation"/>
      </w:pPr>
      <w:bookmarkStart w:id="19" w:name="_Toc21078248"/>
      <w:r>
        <w:t>T</w:t>
      </w:r>
      <w:r w:rsidR="00B021BA" w:rsidRPr="00B021BA">
        <w:t>he combined us</w:t>
      </w:r>
      <w:r w:rsidR="00F10BE0">
        <w:t>ag</w:t>
      </w:r>
      <w:r w:rsidR="00B021BA">
        <w:t>e</w:t>
      </w:r>
      <w:r w:rsidR="00B021BA" w:rsidRPr="00B021BA">
        <w:t xml:space="preserve"> of CRS and NRS for measurement enhancement</w:t>
      </w:r>
      <w:r>
        <w:t xml:space="preserve"> gives worse measurement results comparing to using only NRS.</w:t>
      </w:r>
      <w:bookmarkEnd w:id="19"/>
      <w:r w:rsidR="00B021BA" w:rsidRPr="00B021BA">
        <w:t xml:space="preserve"> </w:t>
      </w:r>
    </w:p>
    <w:p w14:paraId="47CC1B09" w14:textId="1EC7B807" w:rsidR="00674413" w:rsidRPr="00C13DA3" w:rsidRDefault="00FA4001" w:rsidP="00271D06">
      <w:pPr>
        <w:jc w:val="both"/>
      </w:pPr>
      <w:r>
        <w:t>I</w:t>
      </w:r>
      <w:r w:rsidR="00271D06" w:rsidRPr="00C13DA3">
        <w:t xml:space="preserve">f CRS were assumed to be present in subframes not containing NRS, it is important to be aware that </w:t>
      </w:r>
      <w:r w:rsidR="00C13DA3" w:rsidRPr="00C13DA3">
        <w:t>e.g.,</w:t>
      </w:r>
      <w:r w:rsidR="00271D06" w:rsidRPr="00C13DA3">
        <w:t xml:space="preserve"> a MBSFN subframe has </w:t>
      </w:r>
      <w:r w:rsidR="00C13DA3" w:rsidRPr="00C13DA3">
        <w:t xml:space="preserve">a </w:t>
      </w:r>
      <w:r w:rsidR="00271D06" w:rsidRPr="00C13DA3">
        <w:t>different structure than a normal (non-MBSFN) subframe (i.e., CRS cannot be assumed to be present in MBSFN subframes).</w:t>
      </w:r>
      <w:r w:rsidR="00F73FCC">
        <w:t xml:space="preserve"> Finally, </w:t>
      </w:r>
      <w:r w:rsidR="00F73FCC" w:rsidRPr="00F73FCC">
        <w:t xml:space="preserve">CRS presence on non-anchors would </w:t>
      </w:r>
      <w:r>
        <w:t xml:space="preserve">also be problematic in the point of view of NR coexistence. </w:t>
      </w:r>
    </w:p>
    <w:p w14:paraId="7A13C099" w14:textId="32FBA301" w:rsidR="00C13DA3" w:rsidRPr="00C13DA3" w:rsidRDefault="00C13DA3" w:rsidP="00271D06">
      <w:pPr>
        <w:jc w:val="both"/>
      </w:pPr>
      <w:r w:rsidRPr="00C13DA3">
        <w:t xml:space="preserve">Based on the above, and mainly due that from the available results combining CRS+NRS resulted to be worse than using NRS only, it is proposed do not introduce any signalling for </w:t>
      </w:r>
      <w:bookmarkStart w:id="20" w:name="_Hlk3886924"/>
      <w:r w:rsidRPr="00C13DA3">
        <w:t>enabling the presence of CRS in non-anchor carriers in subframes not containing NRS</w:t>
      </w:r>
      <w:bookmarkEnd w:id="20"/>
      <w:r w:rsidRPr="00C13DA3">
        <w:t>.</w:t>
      </w:r>
    </w:p>
    <w:p w14:paraId="7AA934E0" w14:textId="2E29F5E1" w:rsidR="00C13DA3" w:rsidRDefault="00B021BA" w:rsidP="00C13DA3">
      <w:pPr>
        <w:pStyle w:val="Proposal"/>
      </w:pPr>
      <w:bookmarkStart w:id="21" w:name="_Toc21078257"/>
      <w:r>
        <w:t>E</w:t>
      </w:r>
      <w:r w:rsidRPr="00B021BA">
        <w:t>nabling the presence of CRS in non-anchor carriers in subframes not containing NRS</w:t>
      </w:r>
      <w:r>
        <w:t xml:space="preserve"> is not supported.</w:t>
      </w:r>
      <w:bookmarkEnd w:id="21"/>
    </w:p>
    <w:p w14:paraId="5300F849" w14:textId="77777777" w:rsidR="00C01F33" w:rsidRPr="00CE0424" w:rsidRDefault="00C01F33" w:rsidP="00CE0424">
      <w:pPr>
        <w:pStyle w:val="Heading1"/>
      </w:pPr>
      <w:r w:rsidRPr="00CE0424">
        <w:t>Conclusion</w:t>
      </w:r>
    </w:p>
    <w:p w14:paraId="6741DDDC" w14:textId="77777777" w:rsidR="008E065E" w:rsidRPr="00250E69" w:rsidRDefault="008E065E" w:rsidP="008E065E">
      <w:pPr>
        <w:pStyle w:val="BodyText"/>
        <w:rPr>
          <w:rFonts w:ascii="Times New Roman" w:hAnsi="Times New Roman"/>
          <w:b/>
          <w:bCs/>
        </w:rPr>
      </w:pPr>
      <w:r w:rsidRPr="00250E69">
        <w:rPr>
          <w:rFonts w:ascii="Times New Roman" w:hAnsi="Times New Roman"/>
        </w:rPr>
        <w:t xml:space="preserve">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made the following observations:</w:t>
      </w:r>
      <w:r w:rsidR="00C93814" w:rsidRPr="00250E69">
        <w:rPr>
          <w:rFonts w:ascii="Times New Roman" w:hAnsi="Times New Roman"/>
          <w:b/>
          <w:bCs/>
        </w:rPr>
        <w:t xml:space="preserve"> </w:t>
      </w:r>
    </w:p>
    <w:p w14:paraId="02238C1D" w14:textId="66636689" w:rsidR="009D7443"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21078246" w:history="1">
        <w:r w:rsidR="009D7443" w:rsidRPr="002F3D50">
          <w:rPr>
            <w:rStyle w:val="Hyperlink"/>
            <w:rFonts w:cs="Arial"/>
            <w:noProof/>
          </w:rPr>
          <w:t>Observation 1</w:t>
        </w:r>
        <w:r w:rsidR="009D7443">
          <w:rPr>
            <w:rFonts w:asciiTheme="minorHAnsi" w:eastAsiaTheme="minorEastAsia" w:hAnsiTheme="minorHAnsi" w:cstheme="minorBidi"/>
            <w:b w:val="0"/>
            <w:noProof/>
            <w:sz w:val="22"/>
            <w:szCs w:val="22"/>
          </w:rPr>
          <w:tab/>
        </w:r>
        <w:r w:rsidR="009D7443" w:rsidRPr="002F3D50">
          <w:rPr>
            <w:rStyle w:val="Hyperlink"/>
            <w:rFonts w:cs="Arial"/>
            <w:noProof/>
          </w:rPr>
          <w:t>From network perspective, the use of R = (PO_Index+(X div T)) mod 2 results in excessive NRS presence for the case of nB=4T and nB=2T especially when the values of M and N are large.</w:t>
        </w:r>
      </w:hyperlink>
    </w:p>
    <w:p w14:paraId="28C2D73B" w14:textId="4C4296FD"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47" w:history="1">
        <w:r w:rsidR="009D7443" w:rsidRPr="002F3D50">
          <w:rPr>
            <w:rStyle w:val="Hyperlink"/>
            <w:rFonts w:cs="Arial"/>
            <w:noProof/>
          </w:rPr>
          <w:t>Observation 2</w:t>
        </w:r>
        <w:r w:rsidR="009D7443">
          <w:rPr>
            <w:rFonts w:asciiTheme="minorHAnsi" w:eastAsiaTheme="minorEastAsia" w:hAnsiTheme="minorHAnsi" w:cstheme="minorBidi"/>
            <w:b w:val="0"/>
            <w:noProof/>
            <w:sz w:val="22"/>
            <w:szCs w:val="22"/>
          </w:rPr>
          <w:tab/>
        </w:r>
        <w:r w:rsidR="009D7443" w:rsidRPr="002F3D50">
          <w:rPr>
            <w:rStyle w:val="Hyperlink"/>
            <w:rFonts w:cs="Arial"/>
            <w:noProof/>
          </w:rPr>
          <w:t>It is not necessary to include hyper SFN values in the calculation of R.</w:t>
        </w:r>
      </w:hyperlink>
    </w:p>
    <w:p w14:paraId="55C7A9BB" w14:textId="78F11027"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48" w:history="1">
        <w:r w:rsidR="009D7443" w:rsidRPr="002F3D50">
          <w:rPr>
            <w:rStyle w:val="Hyperlink"/>
            <w:noProof/>
          </w:rPr>
          <w:t>Observation 3</w:t>
        </w:r>
        <w:r w:rsidR="009D7443">
          <w:rPr>
            <w:rFonts w:asciiTheme="minorHAnsi" w:eastAsiaTheme="minorEastAsia" w:hAnsiTheme="minorHAnsi" w:cstheme="minorBidi"/>
            <w:b w:val="0"/>
            <w:noProof/>
            <w:sz w:val="22"/>
            <w:szCs w:val="22"/>
          </w:rPr>
          <w:tab/>
        </w:r>
        <w:r w:rsidR="009D7443" w:rsidRPr="002F3D50">
          <w:rPr>
            <w:rStyle w:val="Hyperlink"/>
            <w:noProof/>
          </w:rPr>
          <w:t>The combined usage of CRS and NRS for measurement enhancement gives worse measurement results comparing to using only NRS.</w:t>
        </w:r>
      </w:hyperlink>
    </w:p>
    <w:p w14:paraId="62D061AB" w14:textId="57200318" w:rsidR="006E1C82" w:rsidRDefault="006F6582" w:rsidP="00214ECF">
      <w:pPr>
        <w:pStyle w:val="TableofFigures"/>
        <w:tabs>
          <w:tab w:val="right" w:leader="dot" w:pos="9629"/>
        </w:tabs>
        <w:rPr>
          <w:b w:val="0"/>
          <w:bCs/>
        </w:rPr>
      </w:pPr>
      <w:r>
        <w:rPr>
          <w:b w:val="0"/>
          <w:bCs/>
        </w:rPr>
        <w:fldChar w:fldCharType="end"/>
      </w:r>
    </w:p>
    <w:p w14:paraId="7AFEA5AA" w14:textId="77777777" w:rsidR="006E1C82" w:rsidRPr="00250E69" w:rsidRDefault="008E065E" w:rsidP="006E1C82">
      <w:pPr>
        <w:pStyle w:val="BodyText"/>
        <w:rPr>
          <w:rFonts w:ascii="Times New Roman" w:hAnsi="Times New Roman"/>
        </w:rPr>
      </w:pPr>
      <w:r w:rsidRPr="00250E69">
        <w:rPr>
          <w:rFonts w:ascii="Times New Roman" w:hAnsi="Times New Roman"/>
        </w:rPr>
        <w:lastRenderedPageBreak/>
        <w:t xml:space="preserve">Based on the discussion 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propose the following:</w:t>
      </w:r>
    </w:p>
    <w:p w14:paraId="256CEE6C" w14:textId="161EC722" w:rsidR="009D7443"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78249" w:history="1">
        <w:r w:rsidR="009D7443" w:rsidRPr="00154BB7">
          <w:rPr>
            <w:rStyle w:val="Hyperlink"/>
            <w:rFonts w:cs="Arial"/>
            <w:noProof/>
            <w:lang w:val="en-US"/>
          </w:rPr>
          <w:t>Proposal 1</w:t>
        </w:r>
        <w:r w:rsidR="009D7443">
          <w:rPr>
            <w:rFonts w:asciiTheme="minorHAnsi" w:eastAsiaTheme="minorEastAsia" w:hAnsiTheme="minorHAnsi" w:cstheme="minorBidi"/>
            <w:b w:val="0"/>
            <w:noProof/>
            <w:sz w:val="22"/>
            <w:szCs w:val="22"/>
          </w:rPr>
          <w:tab/>
        </w:r>
        <w:r w:rsidR="009D7443" w:rsidRPr="00154BB7">
          <w:rPr>
            <w:rStyle w:val="Hyperlink"/>
            <w:noProof/>
            <w:lang w:val="en-US"/>
          </w:rPr>
          <w:t xml:space="preserve">RAN1 clarifies that for nB&lt;T/2, the UE assumes that </w:t>
        </w:r>
        <w:r w:rsidR="009D7443" w:rsidRPr="00154BB7">
          <w:rPr>
            <w:rStyle w:val="Hyperlink"/>
            <w:noProof/>
          </w:rPr>
          <w:t>NRSs are transmitted in 10 NB-IoT DL subframes before the PO</w:t>
        </w:r>
        <w:r w:rsidR="009D7443" w:rsidRPr="00154BB7">
          <w:rPr>
            <w:rStyle w:val="Hyperlink"/>
            <w:noProof/>
            <w:lang w:val="en-US"/>
          </w:rPr>
          <w:t>.</w:t>
        </w:r>
      </w:hyperlink>
    </w:p>
    <w:p w14:paraId="5F0379AD" w14:textId="252B1111"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50" w:history="1">
        <w:r w:rsidR="009D7443" w:rsidRPr="00154BB7">
          <w:rPr>
            <w:rStyle w:val="Hyperlink"/>
            <w:rFonts w:cs="Arial"/>
            <w:noProof/>
          </w:rPr>
          <w:t>Proposal 2</w:t>
        </w:r>
        <w:r w:rsidR="009D7443">
          <w:rPr>
            <w:rFonts w:asciiTheme="minorHAnsi" w:eastAsiaTheme="minorEastAsia" w:hAnsiTheme="minorHAnsi" w:cstheme="minorBidi"/>
            <w:b w:val="0"/>
            <w:noProof/>
            <w:sz w:val="22"/>
            <w:szCs w:val="22"/>
          </w:rPr>
          <w:tab/>
        </w:r>
        <w:r w:rsidR="009D7443" w:rsidRPr="00154BB7">
          <w:rPr>
            <w:rStyle w:val="Hyperlink"/>
            <w:noProof/>
            <w:lang w:val="en-US"/>
          </w:rPr>
          <w:t>For the case when nB= T and nB=T/2, the decimation pattern is based on the formula</w:t>
        </w:r>
        <w:r w:rsidR="009D7443" w:rsidRPr="00154BB7">
          <w:rPr>
            <w:rStyle w:val="Hyperlink"/>
            <w:rFonts w:cs="Arial"/>
            <w:noProof/>
          </w:rPr>
          <w:t xml:space="preserve"> R = (PO_Index+( SFN div T)) mod 2, where</w:t>
        </w:r>
        <w:r w:rsidR="009D7443" w:rsidRPr="00154BB7">
          <w:rPr>
            <w:rStyle w:val="Hyperlink"/>
            <w:rFonts w:ascii="Times New Roman" w:hAnsi="Times New Roman"/>
            <w:noProof/>
          </w:rPr>
          <w:t>,</w:t>
        </w:r>
      </w:hyperlink>
    </w:p>
    <w:p w14:paraId="235FD6E3" w14:textId="7E971004" w:rsidR="009D7443" w:rsidRDefault="00506FEB" w:rsidP="009D7443">
      <w:pPr>
        <w:pStyle w:val="TableofFigures"/>
        <w:numPr>
          <w:ilvl w:val="0"/>
          <w:numId w:val="38"/>
        </w:numPr>
        <w:tabs>
          <w:tab w:val="right" w:leader="dot" w:pos="9629"/>
        </w:tabs>
        <w:rPr>
          <w:rFonts w:asciiTheme="minorHAnsi" w:eastAsiaTheme="minorEastAsia" w:hAnsiTheme="minorHAnsi" w:cstheme="minorBidi"/>
          <w:b w:val="0"/>
          <w:noProof/>
          <w:sz w:val="22"/>
          <w:szCs w:val="22"/>
        </w:rPr>
      </w:pPr>
      <w:hyperlink w:anchor="_Toc21078251" w:history="1">
        <w:r w:rsidR="009D7443" w:rsidRPr="00154BB7">
          <w:rPr>
            <w:rStyle w:val="Hyperlink"/>
            <w:rFonts w:cs="Arial"/>
            <w:noProof/>
          </w:rPr>
          <w:t>PO_Index is the index of the PO within one DRX cycle: PO_Index = (SFN/Ns * N) mod T</w:t>
        </w:r>
      </w:hyperlink>
    </w:p>
    <w:p w14:paraId="2EC391AA" w14:textId="4342DA7F" w:rsidR="009D7443" w:rsidRDefault="00506FEB" w:rsidP="009D7443">
      <w:pPr>
        <w:pStyle w:val="TableofFigures"/>
        <w:numPr>
          <w:ilvl w:val="0"/>
          <w:numId w:val="38"/>
        </w:numPr>
        <w:tabs>
          <w:tab w:val="right" w:leader="dot" w:pos="9629"/>
        </w:tabs>
        <w:rPr>
          <w:rFonts w:asciiTheme="minorHAnsi" w:eastAsiaTheme="minorEastAsia" w:hAnsiTheme="minorHAnsi" w:cstheme="minorBidi"/>
          <w:b w:val="0"/>
          <w:noProof/>
          <w:sz w:val="22"/>
          <w:szCs w:val="22"/>
        </w:rPr>
      </w:pPr>
      <w:hyperlink w:anchor="_Toc21078252" w:history="1">
        <w:r w:rsidR="009D7443" w:rsidRPr="00154BB7">
          <w:rPr>
            <w:rStyle w:val="Hyperlink"/>
            <w:rFonts w:cs="Arial"/>
            <w:noProof/>
          </w:rPr>
          <w:t>T is the DRX cycle measured in radio frames defined in the RAN2 specification.</w:t>
        </w:r>
      </w:hyperlink>
    </w:p>
    <w:p w14:paraId="1FB80060" w14:textId="4F9CF03E" w:rsidR="009D7443" w:rsidRDefault="00F96C37">
      <w:pPr>
        <w:pStyle w:val="TableofFigures"/>
        <w:tabs>
          <w:tab w:val="right" w:leader="dot" w:pos="9629"/>
        </w:tabs>
        <w:rPr>
          <w:rFonts w:asciiTheme="minorHAnsi" w:eastAsiaTheme="minorEastAsia" w:hAnsiTheme="minorHAnsi" w:cstheme="minorBidi"/>
          <w:b w:val="0"/>
          <w:noProof/>
          <w:sz w:val="22"/>
          <w:szCs w:val="22"/>
        </w:rPr>
      </w:pPr>
      <w:r>
        <w:tab/>
      </w:r>
      <w:hyperlink w:anchor="_Toc21078253" w:history="1">
        <w:r w:rsidR="009D7443" w:rsidRPr="00154BB7">
          <w:rPr>
            <w:rStyle w:val="Hyperlink"/>
            <w:rFonts w:cs="Arial"/>
            <w:noProof/>
          </w:rPr>
          <w:t>If R=1, the PO has NRS associated with it. If R=0 the PO does not have NRS associated with it.</w:t>
        </w:r>
      </w:hyperlink>
    </w:p>
    <w:p w14:paraId="70F31FA4" w14:textId="22213E5A"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54" w:history="1">
        <w:r w:rsidR="009D7443" w:rsidRPr="00154BB7">
          <w:rPr>
            <w:rStyle w:val="Hyperlink"/>
            <w:rFonts w:cs="Arial"/>
            <w:noProof/>
          </w:rPr>
          <w:t>Proposal 3</w:t>
        </w:r>
        <w:r w:rsidR="009D7443">
          <w:rPr>
            <w:rFonts w:asciiTheme="minorHAnsi" w:eastAsiaTheme="minorEastAsia" w:hAnsiTheme="minorHAnsi" w:cstheme="minorBidi"/>
            <w:b w:val="0"/>
            <w:noProof/>
            <w:sz w:val="22"/>
            <w:szCs w:val="22"/>
          </w:rPr>
          <w:tab/>
        </w:r>
        <w:r w:rsidR="009D7443" w:rsidRPr="00154BB7">
          <w:rPr>
            <w:rStyle w:val="Hyperlink"/>
            <w:noProof/>
            <w:lang w:val="en-US"/>
          </w:rPr>
          <w:t xml:space="preserve">For the case when nB= 4T and nB=2T, further introduce a parameter </w:t>
        </w:r>
        <w:r w:rsidR="009D7443" w:rsidRPr="00154BB7">
          <w:rPr>
            <w:rStyle w:val="Hyperlink"/>
            <w:rFonts w:ascii="Times" w:hAnsi="Times" w:cs="Times"/>
            <w:i/>
            <w:noProof/>
            <w:lang w:val="en-US"/>
          </w:rPr>
          <w:t>l</w:t>
        </w:r>
        <w:r w:rsidR="009D7443" w:rsidRPr="00154BB7">
          <w:rPr>
            <w:rStyle w:val="Hyperlink"/>
            <w:noProof/>
            <w:lang w:val="en-US"/>
          </w:rPr>
          <w:t xml:space="preserve"> together with R to determine the PO tha</w:t>
        </w:r>
        <w:bookmarkStart w:id="22" w:name="_GoBack"/>
        <w:bookmarkEnd w:id="22"/>
        <w:r w:rsidR="009D7443" w:rsidRPr="00154BB7">
          <w:rPr>
            <w:rStyle w:val="Hyperlink"/>
            <w:noProof/>
            <w:lang w:val="en-US"/>
          </w:rPr>
          <w:t xml:space="preserve">t has </w:t>
        </w:r>
        <w:r w:rsidR="009D7443" w:rsidRPr="00154BB7">
          <w:rPr>
            <w:rStyle w:val="Hyperlink"/>
            <w:noProof/>
          </w:rPr>
          <w:t xml:space="preserve">NRS associated with it. If R=1 and (SFN mode </w:t>
        </w:r>
        <w:r w:rsidR="009D7443" w:rsidRPr="00154BB7">
          <w:rPr>
            <w:rStyle w:val="Hyperlink"/>
            <w:rFonts w:ascii="Times" w:hAnsi="Times" w:cs="Times"/>
            <w:i/>
            <w:noProof/>
            <w:lang w:val="en-US"/>
          </w:rPr>
          <w:t>l</w:t>
        </w:r>
        <w:r w:rsidR="009D7443" w:rsidRPr="00154BB7">
          <w:rPr>
            <w:rStyle w:val="Hyperlink"/>
            <w:noProof/>
          </w:rPr>
          <w:t>) == 0, the PO has NRS associated with it. If R=0 the PO does not have NRS associated with it.</w:t>
        </w:r>
      </w:hyperlink>
    </w:p>
    <w:p w14:paraId="3A11BC55" w14:textId="73289E87"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55" w:history="1">
        <w:r w:rsidR="009D7443" w:rsidRPr="00154BB7">
          <w:rPr>
            <w:rStyle w:val="Hyperlink"/>
            <w:rFonts w:cs="Arial"/>
            <w:noProof/>
            <w:lang w:val="en-US"/>
          </w:rPr>
          <w:t>Proposal 4</w:t>
        </w:r>
        <w:r w:rsidR="009D7443">
          <w:rPr>
            <w:rFonts w:asciiTheme="minorHAnsi" w:eastAsiaTheme="minorEastAsia" w:hAnsiTheme="minorHAnsi" w:cstheme="minorBidi"/>
            <w:b w:val="0"/>
            <w:noProof/>
            <w:sz w:val="22"/>
            <w:szCs w:val="22"/>
          </w:rPr>
          <w:tab/>
        </w:r>
        <w:r w:rsidR="009D7443" w:rsidRPr="00154BB7">
          <w:rPr>
            <w:rStyle w:val="Hyperlink"/>
            <w:noProof/>
            <w:lang w:val="en-US"/>
          </w:rPr>
          <w:t>For the case when nB&gt;=T/2, the network configures the values of M and N. The possible values of M and N are selected from the set {0, 1, 2, 3, 4}, and M and N cannot be zero at the same time.</w:t>
        </w:r>
      </w:hyperlink>
    </w:p>
    <w:p w14:paraId="5572D621" w14:textId="2D77CB04"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56" w:history="1">
        <w:r w:rsidR="009D7443" w:rsidRPr="00154BB7">
          <w:rPr>
            <w:rStyle w:val="Hyperlink"/>
            <w:rFonts w:cs="Arial"/>
            <w:noProof/>
            <w:lang w:val="en-US"/>
          </w:rPr>
          <w:t>Proposal 5</w:t>
        </w:r>
        <w:r w:rsidR="009D7443">
          <w:rPr>
            <w:rFonts w:asciiTheme="minorHAnsi" w:eastAsiaTheme="minorEastAsia" w:hAnsiTheme="minorHAnsi" w:cstheme="minorBidi"/>
            <w:b w:val="0"/>
            <w:noProof/>
            <w:sz w:val="22"/>
            <w:szCs w:val="22"/>
          </w:rPr>
          <w:tab/>
        </w:r>
        <w:r w:rsidR="009D7443" w:rsidRPr="00154BB7">
          <w:rPr>
            <w:rStyle w:val="Hyperlink"/>
            <w:noProof/>
            <w:lang w:val="en-US"/>
          </w:rPr>
          <w:t>Send LS to RAN2 to capture the POs associated with NRSs, the values of M and N for each UE group in the RAN2 spec after RAN1 reaches agreement.</w:t>
        </w:r>
      </w:hyperlink>
    </w:p>
    <w:p w14:paraId="318D943E" w14:textId="04D251C1" w:rsidR="009D7443" w:rsidRDefault="00506FEB">
      <w:pPr>
        <w:pStyle w:val="TableofFigures"/>
        <w:tabs>
          <w:tab w:val="right" w:leader="dot" w:pos="9629"/>
        </w:tabs>
        <w:rPr>
          <w:rFonts w:asciiTheme="minorHAnsi" w:eastAsiaTheme="minorEastAsia" w:hAnsiTheme="minorHAnsi" w:cstheme="minorBidi"/>
          <w:b w:val="0"/>
          <w:noProof/>
          <w:sz w:val="22"/>
          <w:szCs w:val="22"/>
        </w:rPr>
      </w:pPr>
      <w:hyperlink w:anchor="_Toc21078257" w:history="1">
        <w:r w:rsidR="009D7443" w:rsidRPr="00154BB7">
          <w:rPr>
            <w:rStyle w:val="Hyperlink"/>
            <w:rFonts w:cs="Arial"/>
            <w:noProof/>
          </w:rPr>
          <w:t>Proposal 6</w:t>
        </w:r>
        <w:r w:rsidR="009D7443">
          <w:rPr>
            <w:rFonts w:asciiTheme="minorHAnsi" w:eastAsiaTheme="minorEastAsia" w:hAnsiTheme="minorHAnsi" w:cstheme="minorBidi"/>
            <w:b w:val="0"/>
            <w:noProof/>
            <w:sz w:val="22"/>
            <w:szCs w:val="22"/>
          </w:rPr>
          <w:tab/>
        </w:r>
        <w:r w:rsidR="009D7443" w:rsidRPr="00154BB7">
          <w:rPr>
            <w:rStyle w:val="Hyperlink"/>
            <w:noProof/>
          </w:rPr>
          <w:t>Enabling the presence of CRS in non-anchor carriers in subframes not containing NRS is not supported.</w:t>
        </w:r>
      </w:hyperlink>
    </w:p>
    <w:p w14:paraId="7203AEF7" w14:textId="5ABD2623" w:rsidR="00F507D1" w:rsidRPr="00CE0424" w:rsidRDefault="006E1C82" w:rsidP="00CE0424">
      <w:pPr>
        <w:pStyle w:val="Heading1"/>
      </w:pPr>
      <w:r>
        <w:rPr>
          <w:b/>
          <w:bCs/>
          <w:lang w:val="en-US" w:eastAsia="zh-CN"/>
        </w:rPr>
        <w:fldChar w:fldCharType="end"/>
      </w:r>
      <w:bookmarkStart w:id="23" w:name="_In-sequence_SDU_delivery"/>
      <w:bookmarkEnd w:id="23"/>
      <w:r w:rsidR="00F507D1" w:rsidRPr="00CE0424">
        <w:t>References</w:t>
      </w:r>
    </w:p>
    <w:p w14:paraId="0A9B1F3C" w14:textId="24E31EE8" w:rsidR="005A7637" w:rsidRPr="00B94FF0" w:rsidRDefault="0005485F" w:rsidP="005F5963">
      <w:pPr>
        <w:pStyle w:val="Reference"/>
        <w:rPr>
          <w:rFonts w:ascii="Times New Roman" w:hAnsi="Times New Roman"/>
        </w:rPr>
      </w:pPr>
      <w:bookmarkStart w:id="24" w:name="_Ref20998823"/>
      <w:bookmarkStart w:id="25" w:name="_Hlk528935781"/>
      <w:bookmarkStart w:id="26" w:name="_Ref174151459"/>
      <w:bookmarkStart w:id="27" w:name="_Ref189809556"/>
      <w:r w:rsidRPr="0005485F">
        <w:rPr>
          <w:rFonts w:ascii="Times New Roman" w:hAnsi="Times New Roman"/>
        </w:rPr>
        <w:t>RP-192313</w:t>
      </w:r>
      <w:r w:rsidR="005A7637" w:rsidRPr="00B94FF0">
        <w:rPr>
          <w:rFonts w:ascii="Times New Roman" w:hAnsi="Times New Roman"/>
        </w:rPr>
        <w:t>, Additional enhancements for NB-IoT, RAN #8</w:t>
      </w:r>
      <w:r w:rsidR="004E7D6B">
        <w:rPr>
          <w:rFonts w:ascii="Times New Roman" w:hAnsi="Times New Roman"/>
        </w:rPr>
        <w:t>5</w:t>
      </w:r>
      <w:r w:rsidR="005A7637" w:rsidRPr="00B94FF0">
        <w:rPr>
          <w:rFonts w:ascii="Times New Roman" w:hAnsi="Times New Roman"/>
        </w:rPr>
        <w:t xml:space="preserve">, </w:t>
      </w:r>
      <w:r w:rsidR="004E7D6B" w:rsidRPr="004E7D6B">
        <w:rPr>
          <w:rFonts w:ascii="Times New Roman" w:hAnsi="Times New Roman"/>
        </w:rPr>
        <w:t>Newport Beach, USA, September 16-20, 2019</w:t>
      </w:r>
      <w:r w:rsidR="005A7637" w:rsidRPr="00B94FF0">
        <w:rPr>
          <w:rFonts w:ascii="Times New Roman" w:hAnsi="Times New Roman"/>
        </w:rPr>
        <w:t>.</w:t>
      </w:r>
      <w:bookmarkEnd w:id="24"/>
    </w:p>
    <w:p w14:paraId="54B5CA7A" w14:textId="1101222B" w:rsidR="00B01453" w:rsidRPr="00B94FF0" w:rsidRDefault="002245E0" w:rsidP="00251DCA">
      <w:pPr>
        <w:pStyle w:val="Reference"/>
        <w:rPr>
          <w:rFonts w:ascii="Times New Roman" w:hAnsi="Times New Roman"/>
        </w:rPr>
      </w:pPr>
      <w:bookmarkStart w:id="28" w:name="_Ref20998833"/>
      <w:r w:rsidRPr="002245E0">
        <w:rPr>
          <w:rFonts w:ascii="Times New Roman" w:hAnsi="Times New Roman"/>
        </w:rPr>
        <w:t>R1-1909689</w:t>
      </w:r>
      <w:r>
        <w:rPr>
          <w:rFonts w:ascii="Times New Roman" w:hAnsi="Times New Roman"/>
        </w:rPr>
        <w:t xml:space="preserve">, </w:t>
      </w:r>
      <w:r w:rsidR="001E4E2C" w:rsidRPr="001E4E2C">
        <w:rPr>
          <w:rFonts w:ascii="Times New Roman" w:hAnsi="Times New Roman"/>
        </w:rPr>
        <w:t>RAN1 agreements for Rel-16 Additional Enhancements for NB-IoT</w:t>
      </w:r>
      <w:r w:rsidR="001E4E2C">
        <w:rPr>
          <w:rFonts w:ascii="Times New Roman" w:hAnsi="Times New Roman"/>
        </w:rPr>
        <w:t xml:space="preserve">, </w:t>
      </w:r>
      <w:proofErr w:type="spellStart"/>
      <w:r w:rsidR="000A4CE2" w:rsidRPr="000A4CE2">
        <w:rPr>
          <w:rFonts w:ascii="Times New Roman" w:hAnsi="Times New Roman"/>
        </w:rPr>
        <w:t>Futurewei</w:t>
      </w:r>
      <w:proofErr w:type="spellEnd"/>
      <w:r w:rsidR="000A4CE2">
        <w:rPr>
          <w:rFonts w:ascii="Times New Roman" w:hAnsi="Times New Roman"/>
        </w:rPr>
        <w:t xml:space="preserve">, </w:t>
      </w:r>
      <w:r w:rsidR="00CD7C81" w:rsidRPr="00B94FF0">
        <w:rPr>
          <w:rFonts w:ascii="Times New Roman" w:hAnsi="Times New Roman"/>
        </w:rPr>
        <w:t>RAN1 #9</w:t>
      </w:r>
      <w:r w:rsidR="00CD7C81">
        <w:rPr>
          <w:rFonts w:ascii="Times New Roman" w:hAnsi="Times New Roman"/>
        </w:rPr>
        <w:t xml:space="preserve">8, </w:t>
      </w:r>
      <w:r w:rsidR="000A0840" w:rsidRPr="000A0840">
        <w:rPr>
          <w:rFonts w:ascii="Times New Roman" w:hAnsi="Times New Roman"/>
        </w:rPr>
        <w:t>Prague, Czech Republic, 26th – 30th August 2019</w:t>
      </w:r>
      <w:r w:rsidR="000A0840">
        <w:rPr>
          <w:rFonts w:ascii="Times New Roman" w:hAnsi="Times New Roman"/>
        </w:rPr>
        <w:t>.</w:t>
      </w:r>
      <w:bookmarkEnd w:id="28"/>
    </w:p>
    <w:p w14:paraId="29026277" w14:textId="73889400" w:rsidR="00237A6C" w:rsidRPr="00B94FF0" w:rsidRDefault="00CE14C0" w:rsidP="00251DCA">
      <w:pPr>
        <w:pStyle w:val="Reference"/>
        <w:rPr>
          <w:rFonts w:ascii="Times New Roman" w:hAnsi="Times New Roman"/>
        </w:rPr>
      </w:pPr>
      <w:bookmarkStart w:id="29" w:name="_Ref20998908"/>
      <w:r w:rsidRPr="00B94FF0">
        <w:rPr>
          <w:rFonts w:ascii="Times New Roman" w:hAnsi="Times New Roman"/>
        </w:rPr>
        <w:t>R1-1905976, “NRS presence on non-anchor carriers for paging</w:t>
      </w:r>
      <w:r w:rsidR="00237A6C" w:rsidRPr="00B94FF0">
        <w:rPr>
          <w:rFonts w:ascii="Times New Roman" w:hAnsi="Times New Roman"/>
        </w:rPr>
        <w:t xml:space="preserve">,” RAN1 #97, </w:t>
      </w:r>
      <w:r w:rsidRPr="00B94FF0">
        <w:rPr>
          <w:rFonts w:ascii="Times New Roman" w:hAnsi="Times New Roman"/>
        </w:rPr>
        <w:t xml:space="preserve">Huawei, HiSilicon, </w:t>
      </w:r>
      <w:r w:rsidR="00237A6C" w:rsidRPr="00B94FF0">
        <w:rPr>
          <w:rFonts w:ascii="Times New Roman" w:hAnsi="Times New Roman"/>
        </w:rPr>
        <w:t>Reno, United States of America, May 13th – 17th 2019</w:t>
      </w:r>
      <w:r w:rsidR="000A0840">
        <w:rPr>
          <w:rFonts w:ascii="Times New Roman" w:hAnsi="Times New Roman"/>
        </w:rPr>
        <w:t>.</w:t>
      </w:r>
      <w:bookmarkEnd w:id="29"/>
    </w:p>
    <w:p w14:paraId="3E77307E" w14:textId="04A3C474" w:rsidR="00B01453" w:rsidRPr="00B94FF0" w:rsidRDefault="00B01453" w:rsidP="00096F38">
      <w:pPr>
        <w:pStyle w:val="Reference"/>
        <w:rPr>
          <w:rFonts w:ascii="Times New Roman" w:hAnsi="Times New Roman"/>
        </w:rPr>
      </w:pPr>
      <w:bookmarkStart w:id="30" w:name="_Ref20998941"/>
      <w:bookmarkEnd w:id="25"/>
      <w:bookmarkEnd w:id="26"/>
      <w:bookmarkEnd w:id="27"/>
      <w:r w:rsidRPr="00B94FF0">
        <w:rPr>
          <w:rFonts w:ascii="Times New Roman" w:hAnsi="Times New Roman"/>
        </w:rPr>
        <w:t>3GPP TS 36.304, Evolved Universal Terrestrial Radio Access (E-UTRA), “User Equipment (UE) procedures in idle mode”, V15.2.0 (2018-12)</w:t>
      </w:r>
      <w:r w:rsidR="005B5338" w:rsidRPr="00B94FF0">
        <w:rPr>
          <w:rFonts w:ascii="Times New Roman" w:hAnsi="Times New Roman"/>
        </w:rPr>
        <w:t>.</w:t>
      </w:r>
      <w:bookmarkEnd w:id="30"/>
    </w:p>
    <w:p w14:paraId="49C8F7CA" w14:textId="7EAEA8B9" w:rsidR="005B5338" w:rsidRPr="00B94FF0" w:rsidRDefault="005B5338" w:rsidP="00096F38">
      <w:pPr>
        <w:pStyle w:val="Reference"/>
        <w:rPr>
          <w:rFonts w:ascii="Times New Roman" w:hAnsi="Times New Roman"/>
        </w:rPr>
      </w:pPr>
      <w:bookmarkStart w:id="31" w:name="_Ref20998975"/>
      <w:r w:rsidRPr="00B94FF0">
        <w:rPr>
          <w:rFonts w:ascii="Times New Roman" w:hAnsi="Times New Roman"/>
        </w:rPr>
        <w:t xml:space="preserve">R1-1707024, “Further consideration on narrowband measurement accuracy improvement,” Huawei, </w:t>
      </w:r>
      <w:proofErr w:type="spellStart"/>
      <w:r w:rsidRPr="00B94FF0">
        <w:rPr>
          <w:rFonts w:ascii="Times New Roman" w:hAnsi="Times New Roman"/>
        </w:rPr>
        <w:t>HiSilicon</w:t>
      </w:r>
      <w:proofErr w:type="spellEnd"/>
      <w:r w:rsidRPr="00B94FF0">
        <w:rPr>
          <w:rFonts w:ascii="Times New Roman" w:hAnsi="Times New Roman"/>
        </w:rPr>
        <w:t xml:space="preserve">, </w:t>
      </w:r>
      <w:proofErr w:type="spellStart"/>
      <w:r w:rsidRPr="00B94FF0">
        <w:rPr>
          <w:rFonts w:ascii="Times New Roman" w:hAnsi="Times New Roman"/>
        </w:rPr>
        <w:t>Neul</w:t>
      </w:r>
      <w:proofErr w:type="spellEnd"/>
      <w:r w:rsidRPr="00B94FF0">
        <w:rPr>
          <w:rFonts w:ascii="Times New Roman" w:hAnsi="Times New Roman"/>
        </w:rPr>
        <w:t>, Hangzhou, China, RAN1 # 89.</w:t>
      </w:r>
      <w:bookmarkEnd w:id="31"/>
    </w:p>
    <w:p w14:paraId="318D9BA5" w14:textId="77777777" w:rsidR="00AE0B19" w:rsidRPr="00AE0B19" w:rsidRDefault="00AE0B19" w:rsidP="00AE0B19">
      <w:pPr>
        <w:rPr>
          <w:lang w:val="en-US"/>
        </w:rPr>
      </w:pPr>
    </w:p>
    <w:sectPr w:rsidR="00AE0B19" w:rsidRPr="00AE0B19" w:rsidSect="002E14B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17F2A" w14:textId="77777777" w:rsidR="00506FEB" w:rsidRDefault="00506FEB">
      <w:r>
        <w:separator/>
      </w:r>
    </w:p>
  </w:endnote>
  <w:endnote w:type="continuationSeparator" w:id="0">
    <w:p w14:paraId="2008AE69" w14:textId="77777777" w:rsidR="00506FEB" w:rsidRDefault="00506FEB">
      <w:r>
        <w:continuationSeparator/>
      </w:r>
    </w:p>
  </w:endnote>
  <w:endnote w:type="continuationNotice" w:id="1">
    <w:p w14:paraId="107E3C50" w14:textId="77777777" w:rsidR="00506FEB" w:rsidRDefault="00506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31211" w:rsidRDefault="00F312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9146D" w14:textId="77777777" w:rsidR="00506FEB" w:rsidRDefault="00506FEB">
      <w:r>
        <w:separator/>
      </w:r>
    </w:p>
  </w:footnote>
  <w:footnote w:type="continuationSeparator" w:id="0">
    <w:p w14:paraId="7789A6E7" w14:textId="77777777" w:rsidR="00506FEB" w:rsidRDefault="00506FEB">
      <w:r>
        <w:continuationSeparator/>
      </w:r>
    </w:p>
  </w:footnote>
  <w:footnote w:type="continuationNotice" w:id="1">
    <w:p w14:paraId="5E319883" w14:textId="77777777" w:rsidR="00506FEB" w:rsidRDefault="00506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31211" w:rsidRDefault="00F312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CD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0D4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B21CA"/>
    <w:multiLevelType w:val="hybridMultilevel"/>
    <w:tmpl w:val="DE6A2176"/>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8090001">
      <w:start w:val="1"/>
      <w:numFmt w:val="bullet"/>
      <w:lvlText w:val=""/>
      <w:lvlJc w:val="left"/>
      <w:pPr>
        <w:ind w:left="1685" w:hanging="420"/>
      </w:pPr>
      <w:rPr>
        <w:rFonts w:ascii="Symbol" w:hAnsi="Symbol"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EC54C4"/>
    <w:multiLevelType w:val="hybridMultilevel"/>
    <w:tmpl w:val="2C120DEC"/>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466571"/>
    <w:multiLevelType w:val="hybridMultilevel"/>
    <w:tmpl w:val="6E320E4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0936C4"/>
    <w:multiLevelType w:val="hybridMultilevel"/>
    <w:tmpl w:val="5BBEE1E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D4337"/>
    <w:multiLevelType w:val="hybridMultilevel"/>
    <w:tmpl w:val="B6242B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AD3234"/>
    <w:multiLevelType w:val="hybridMultilevel"/>
    <w:tmpl w:val="A9BAF396"/>
    <w:lvl w:ilvl="0" w:tplc="041D0001">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7C329E"/>
    <w:multiLevelType w:val="hybridMultilevel"/>
    <w:tmpl w:val="9B268A00"/>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24C438C"/>
    <w:lvl w:ilvl="0" w:tplc="D4E4EA5C">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5B71BD"/>
    <w:multiLevelType w:val="hybridMultilevel"/>
    <w:tmpl w:val="68EE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72D43"/>
    <w:multiLevelType w:val="hybridMultilevel"/>
    <w:tmpl w:val="22881D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1C01B7"/>
    <w:multiLevelType w:val="hybridMultilevel"/>
    <w:tmpl w:val="4C224CB0"/>
    <w:lvl w:ilvl="0" w:tplc="2BC0DF16">
      <w:start w:val="1"/>
      <w:numFmt w:val="bullet"/>
      <w:lvlText w:val="-"/>
      <w:lvlJc w:val="left"/>
      <w:pPr>
        <w:ind w:left="2421" w:hanging="360"/>
      </w:pPr>
      <w:rPr>
        <w:rFonts w:ascii="Times New Roman" w:hAnsi="Times New Roman" w:cs="Times New Roman" w:hint="default"/>
        <w:lang w:val="en-US"/>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A750162"/>
    <w:multiLevelType w:val="hybridMultilevel"/>
    <w:tmpl w:val="76ECE22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5B9521EF"/>
    <w:multiLevelType w:val="hybridMultilevel"/>
    <w:tmpl w:val="FE2C9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8117F1"/>
    <w:multiLevelType w:val="hybridMultilevel"/>
    <w:tmpl w:val="5B344DF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A6F608B"/>
    <w:multiLevelType w:val="hybridMultilevel"/>
    <w:tmpl w:val="02164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AA0431B"/>
    <w:multiLevelType w:val="hybridMultilevel"/>
    <w:tmpl w:val="6DBA12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3" w15:restartNumberingAfterBreak="0">
    <w:nsid w:val="6AA455A3"/>
    <w:multiLevelType w:val="hybridMultilevel"/>
    <w:tmpl w:val="3D6CB4F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E449E8"/>
    <w:multiLevelType w:val="hybridMultilevel"/>
    <w:tmpl w:val="2F88BA5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930261"/>
    <w:multiLevelType w:val="hybridMultilevel"/>
    <w:tmpl w:val="EF44A45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19"/>
  </w:num>
  <w:num w:numId="2">
    <w:abstractNumId w:val="17"/>
  </w:num>
  <w:num w:numId="3">
    <w:abstractNumId w:val="2"/>
  </w:num>
  <w:num w:numId="4">
    <w:abstractNumId w:val="22"/>
  </w:num>
  <w:num w:numId="5">
    <w:abstractNumId w:val="23"/>
  </w:num>
  <w:num w:numId="6">
    <w:abstractNumId w:val="28"/>
  </w:num>
  <w:num w:numId="7">
    <w:abstractNumId w:val="10"/>
  </w:num>
  <w:num w:numId="8">
    <w:abstractNumId w:val="12"/>
  </w:num>
  <w:num w:numId="9">
    <w:abstractNumId w:val="5"/>
  </w:num>
  <w:num w:numId="10">
    <w:abstractNumId w:val="36"/>
  </w:num>
  <w:num w:numId="11">
    <w:abstractNumId w:val="16"/>
  </w:num>
  <w:num w:numId="12">
    <w:abstractNumId w:val="34"/>
  </w:num>
  <w:num w:numId="13">
    <w:abstractNumId w:val="6"/>
  </w:num>
  <w:num w:numId="14">
    <w:abstractNumId w:val="29"/>
  </w:num>
  <w:num w:numId="15">
    <w:abstractNumId w:val="21"/>
  </w:num>
  <w:num w:numId="16">
    <w:abstractNumId w:val="4"/>
  </w:num>
  <w:num w:numId="17">
    <w:abstractNumId w:val="8"/>
  </w:num>
  <w:num w:numId="18">
    <w:abstractNumId w:val="24"/>
  </w:num>
  <w:num w:numId="19">
    <w:abstractNumId w:val="14"/>
  </w:num>
  <w:num w:numId="20">
    <w:abstractNumId w:val="25"/>
  </w:num>
  <w:num w:numId="21">
    <w:abstractNumId w:val="31"/>
  </w:num>
  <w:num w:numId="22">
    <w:abstractNumId w:val="18"/>
  </w:num>
  <w:num w:numId="23">
    <w:abstractNumId w:val="20"/>
  </w:num>
  <w:num w:numId="24">
    <w:abstractNumId w:val="37"/>
  </w:num>
  <w:num w:numId="25">
    <w:abstractNumId w:val="11"/>
  </w:num>
  <w:num w:numId="26">
    <w:abstractNumId w:val="13"/>
  </w:num>
  <w:num w:numId="27">
    <w:abstractNumId w:val="1"/>
  </w:num>
  <w:num w:numId="28">
    <w:abstractNumId w:val="0"/>
  </w:num>
  <w:num w:numId="29">
    <w:abstractNumId w:val="26"/>
  </w:num>
  <w:num w:numId="30">
    <w:abstractNumId w:val="30"/>
  </w:num>
  <w:num w:numId="31">
    <w:abstractNumId w:val="9"/>
  </w:num>
  <w:num w:numId="32">
    <w:abstractNumId w:val="33"/>
  </w:num>
  <w:num w:numId="33">
    <w:abstractNumId w:val="15"/>
  </w:num>
  <w:num w:numId="34">
    <w:abstractNumId w:val="27"/>
  </w:num>
  <w:num w:numId="35">
    <w:abstractNumId w:val="32"/>
  </w:num>
  <w:num w:numId="36">
    <w:abstractNumId w:val="35"/>
  </w:num>
  <w:num w:numId="37">
    <w:abstractNumId w:val="3"/>
  </w:num>
  <w:num w:numId="3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0B05"/>
    <w:rsid w:val="00002A37"/>
    <w:rsid w:val="0000564C"/>
    <w:rsid w:val="00006446"/>
    <w:rsid w:val="00006896"/>
    <w:rsid w:val="00007CDC"/>
    <w:rsid w:val="00011B28"/>
    <w:rsid w:val="00015D15"/>
    <w:rsid w:val="00016897"/>
    <w:rsid w:val="00016F1E"/>
    <w:rsid w:val="000171AE"/>
    <w:rsid w:val="00021247"/>
    <w:rsid w:val="00021C86"/>
    <w:rsid w:val="00022376"/>
    <w:rsid w:val="0002250C"/>
    <w:rsid w:val="00022E8B"/>
    <w:rsid w:val="0002564D"/>
    <w:rsid w:val="00025ECA"/>
    <w:rsid w:val="0002638C"/>
    <w:rsid w:val="00026784"/>
    <w:rsid w:val="000279EE"/>
    <w:rsid w:val="00027B8B"/>
    <w:rsid w:val="000325B8"/>
    <w:rsid w:val="00033541"/>
    <w:rsid w:val="00033D80"/>
    <w:rsid w:val="00034391"/>
    <w:rsid w:val="00034A9C"/>
    <w:rsid w:val="00034C15"/>
    <w:rsid w:val="00036BA1"/>
    <w:rsid w:val="000377B3"/>
    <w:rsid w:val="00037DCC"/>
    <w:rsid w:val="00037F7E"/>
    <w:rsid w:val="000422E2"/>
    <w:rsid w:val="00042F22"/>
    <w:rsid w:val="000444EF"/>
    <w:rsid w:val="000461FC"/>
    <w:rsid w:val="00046A10"/>
    <w:rsid w:val="00052A07"/>
    <w:rsid w:val="00053393"/>
    <w:rsid w:val="000534E3"/>
    <w:rsid w:val="0005485F"/>
    <w:rsid w:val="0005606A"/>
    <w:rsid w:val="00057117"/>
    <w:rsid w:val="00057CDC"/>
    <w:rsid w:val="000616E7"/>
    <w:rsid w:val="0006487E"/>
    <w:rsid w:val="00065E1A"/>
    <w:rsid w:val="00070B51"/>
    <w:rsid w:val="000713AC"/>
    <w:rsid w:val="00071B5D"/>
    <w:rsid w:val="00071D18"/>
    <w:rsid w:val="00073379"/>
    <w:rsid w:val="00075D42"/>
    <w:rsid w:val="00076518"/>
    <w:rsid w:val="00077E5F"/>
    <w:rsid w:val="0008036A"/>
    <w:rsid w:val="00081AE6"/>
    <w:rsid w:val="00082989"/>
    <w:rsid w:val="000836B4"/>
    <w:rsid w:val="00085504"/>
    <w:rsid w:val="000855EB"/>
    <w:rsid w:val="00085B52"/>
    <w:rsid w:val="000866F2"/>
    <w:rsid w:val="0009009F"/>
    <w:rsid w:val="00091557"/>
    <w:rsid w:val="000924C1"/>
    <w:rsid w:val="000924F0"/>
    <w:rsid w:val="00093474"/>
    <w:rsid w:val="00093CA8"/>
    <w:rsid w:val="000941BD"/>
    <w:rsid w:val="0009434D"/>
    <w:rsid w:val="0009510F"/>
    <w:rsid w:val="00096F38"/>
    <w:rsid w:val="000A0840"/>
    <w:rsid w:val="000A152F"/>
    <w:rsid w:val="000A1B7B"/>
    <w:rsid w:val="000A27F0"/>
    <w:rsid w:val="000A4CE2"/>
    <w:rsid w:val="000A56F2"/>
    <w:rsid w:val="000B1EB9"/>
    <w:rsid w:val="000B23C8"/>
    <w:rsid w:val="000B2719"/>
    <w:rsid w:val="000B2C21"/>
    <w:rsid w:val="000B3A8F"/>
    <w:rsid w:val="000B4AB9"/>
    <w:rsid w:val="000B5399"/>
    <w:rsid w:val="000B58C3"/>
    <w:rsid w:val="000B61E9"/>
    <w:rsid w:val="000B62BD"/>
    <w:rsid w:val="000C165A"/>
    <w:rsid w:val="000C2E19"/>
    <w:rsid w:val="000C6C8C"/>
    <w:rsid w:val="000D0264"/>
    <w:rsid w:val="000D05CE"/>
    <w:rsid w:val="000D0D07"/>
    <w:rsid w:val="000D45D2"/>
    <w:rsid w:val="000D4797"/>
    <w:rsid w:val="000E0527"/>
    <w:rsid w:val="000E1854"/>
    <w:rsid w:val="000E198D"/>
    <w:rsid w:val="000E1E92"/>
    <w:rsid w:val="000E7417"/>
    <w:rsid w:val="000F015F"/>
    <w:rsid w:val="000F06D6"/>
    <w:rsid w:val="000F0EB1"/>
    <w:rsid w:val="000F1106"/>
    <w:rsid w:val="000F1F5B"/>
    <w:rsid w:val="000F3BE9"/>
    <w:rsid w:val="000F3F6C"/>
    <w:rsid w:val="000F6A18"/>
    <w:rsid w:val="000F6DF3"/>
    <w:rsid w:val="000F6E4D"/>
    <w:rsid w:val="001005FF"/>
    <w:rsid w:val="00101B6B"/>
    <w:rsid w:val="00101D3E"/>
    <w:rsid w:val="001049F7"/>
    <w:rsid w:val="00104A86"/>
    <w:rsid w:val="00105439"/>
    <w:rsid w:val="00105BDA"/>
    <w:rsid w:val="001062FB"/>
    <w:rsid w:val="001063E6"/>
    <w:rsid w:val="0011192F"/>
    <w:rsid w:val="001135FF"/>
    <w:rsid w:val="00113CF4"/>
    <w:rsid w:val="00113E26"/>
    <w:rsid w:val="00114492"/>
    <w:rsid w:val="001153EA"/>
    <w:rsid w:val="00115643"/>
    <w:rsid w:val="001161BD"/>
    <w:rsid w:val="001161FC"/>
    <w:rsid w:val="00116765"/>
    <w:rsid w:val="0012093D"/>
    <w:rsid w:val="001219F5"/>
    <w:rsid w:val="00121A20"/>
    <w:rsid w:val="00122440"/>
    <w:rsid w:val="00122BDE"/>
    <w:rsid w:val="0012377F"/>
    <w:rsid w:val="00124314"/>
    <w:rsid w:val="00126B4A"/>
    <w:rsid w:val="001305D7"/>
    <w:rsid w:val="001311AF"/>
    <w:rsid w:val="001312E6"/>
    <w:rsid w:val="00132FD0"/>
    <w:rsid w:val="001344C0"/>
    <w:rsid w:val="001346FA"/>
    <w:rsid w:val="00134FFE"/>
    <w:rsid w:val="00135252"/>
    <w:rsid w:val="00137785"/>
    <w:rsid w:val="00137AB5"/>
    <w:rsid w:val="00137F0B"/>
    <w:rsid w:val="00142E5E"/>
    <w:rsid w:val="00143654"/>
    <w:rsid w:val="00145D25"/>
    <w:rsid w:val="0014646A"/>
    <w:rsid w:val="00151E23"/>
    <w:rsid w:val="001526E0"/>
    <w:rsid w:val="00153A84"/>
    <w:rsid w:val="001551B5"/>
    <w:rsid w:val="00157CC7"/>
    <w:rsid w:val="0016466B"/>
    <w:rsid w:val="001659C1"/>
    <w:rsid w:val="00170DCB"/>
    <w:rsid w:val="00171B82"/>
    <w:rsid w:val="00172192"/>
    <w:rsid w:val="00173A8E"/>
    <w:rsid w:val="0017502C"/>
    <w:rsid w:val="001761B7"/>
    <w:rsid w:val="001763CD"/>
    <w:rsid w:val="00177229"/>
    <w:rsid w:val="0018012E"/>
    <w:rsid w:val="0018143F"/>
    <w:rsid w:val="00181FF8"/>
    <w:rsid w:val="00183449"/>
    <w:rsid w:val="0018449C"/>
    <w:rsid w:val="00184747"/>
    <w:rsid w:val="00190AC1"/>
    <w:rsid w:val="00191F22"/>
    <w:rsid w:val="0019341A"/>
    <w:rsid w:val="00193E53"/>
    <w:rsid w:val="00194FF9"/>
    <w:rsid w:val="00196136"/>
    <w:rsid w:val="00197D33"/>
    <w:rsid w:val="00197DF9"/>
    <w:rsid w:val="001A1987"/>
    <w:rsid w:val="001A2564"/>
    <w:rsid w:val="001A3FFB"/>
    <w:rsid w:val="001A457B"/>
    <w:rsid w:val="001A6173"/>
    <w:rsid w:val="001A65B0"/>
    <w:rsid w:val="001A6CBA"/>
    <w:rsid w:val="001A7BB7"/>
    <w:rsid w:val="001A7DA8"/>
    <w:rsid w:val="001B0D97"/>
    <w:rsid w:val="001B3108"/>
    <w:rsid w:val="001B3CF4"/>
    <w:rsid w:val="001B569A"/>
    <w:rsid w:val="001B5A5D"/>
    <w:rsid w:val="001B78A1"/>
    <w:rsid w:val="001C18CC"/>
    <w:rsid w:val="001C1CE5"/>
    <w:rsid w:val="001C2B2E"/>
    <w:rsid w:val="001C3D2A"/>
    <w:rsid w:val="001C5309"/>
    <w:rsid w:val="001C5EF0"/>
    <w:rsid w:val="001C724E"/>
    <w:rsid w:val="001C72B5"/>
    <w:rsid w:val="001D24B9"/>
    <w:rsid w:val="001D2C7F"/>
    <w:rsid w:val="001D3563"/>
    <w:rsid w:val="001D51BA"/>
    <w:rsid w:val="001D53E7"/>
    <w:rsid w:val="001D6342"/>
    <w:rsid w:val="001D6D53"/>
    <w:rsid w:val="001E1112"/>
    <w:rsid w:val="001E3C9B"/>
    <w:rsid w:val="001E4E2C"/>
    <w:rsid w:val="001E52DF"/>
    <w:rsid w:val="001E58E2"/>
    <w:rsid w:val="001E6067"/>
    <w:rsid w:val="001E760E"/>
    <w:rsid w:val="001E7AED"/>
    <w:rsid w:val="001F2101"/>
    <w:rsid w:val="001F2121"/>
    <w:rsid w:val="001F22FA"/>
    <w:rsid w:val="001F2398"/>
    <w:rsid w:val="001F3916"/>
    <w:rsid w:val="001F52AA"/>
    <w:rsid w:val="001F54C5"/>
    <w:rsid w:val="001F662C"/>
    <w:rsid w:val="001F7074"/>
    <w:rsid w:val="00200490"/>
    <w:rsid w:val="00201F3A"/>
    <w:rsid w:val="00202C4E"/>
    <w:rsid w:val="002030F3"/>
    <w:rsid w:val="00203465"/>
    <w:rsid w:val="002036CE"/>
    <w:rsid w:val="00203F96"/>
    <w:rsid w:val="002069B2"/>
    <w:rsid w:val="00207FA3"/>
    <w:rsid w:val="00211D76"/>
    <w:rsid w:val="00213CA8"/>
    <w:rsid w:val="00214DA8"/>
    <w:rsid w:val="00214ECF"/>
    <w:rsid w:val="00215423"/>
    <w:rsid w:val="0021583F"/>
    <w:rsid w:val="002158FA"/>
    <w:rsid w:val="00220600"/>
    <w:rsid w:val="00220607"/>
    <w:rsid w:val="0022167D"/>
    <w:rsid w:val="002224DB"/>
    <w:rsid w:val="00222E5B"/>
    <w:rsid w:val="00223FCB"/>
    <w:rsid w:val="002245E0"/>
    <w:rsid w:val="002252C3"/>
    <w:rsid w:val="00225C54"/>
    <w:rsid w:val="00230765"/>
    <w:rsid w:val="00230D18"/>
    <w:rsid w:val="00230EC1"/>
    <w:rsid w:val="002319E4"/>
    <w:rsid w:val="00232000"/>
    <w:rsid w:val="00235632"/>
    <w:rsid w:val="00235872"/>
    <w:rsid w:val="0023673D"/>
    <w:rsid w:val="00236CFA"/>
    <w:rsid w:val="00237A6C"/>
    <w:rsid w:val="002400EF"/>
    <w:rsid w:val="00241559"/>
    <w:rsid w:val="002435B3"/>
    <w:rsid w:val="0024497C"/>
    <w:rsid w:val="00244B78"/>
    <w:rsid w:val="002458EB"/>
    <w:rsid w:val="002500C8"/>
    <w:rsid w:val="00250314"/>
    <w:rsid w:val="00250E69"/>
    <w:rsid w:val="00251DCA"/>
    <w:rsid w:val="00253436"/>
    <w:rsid w:val="00256A2C"/>
    <w:rsid w:val="00257543"/>
    <w:rsid w:val="0026137D"/>
    <w:rsid w:val="002617E7"/>
    <w:rsid w:val="00264171"/>
    <w:rsid w:val="00264228"/>
    <w:rsid w:val="00264334"/>
    <w:rsid w:val="0026473E"/>
    <w:rsid w:val="00266214"/>
    <w:rsid w:val="002664D8"/>
    <w:rsid w:val="00267C83"/>
    <w:rsid w:val="00267DA0"/>
    <w:rsid w:val="0027144F"/>
    <w:rsid w:val="00271813"/>
    <w:rsid w:val="00271D06"/>
    <w:rsid w:val="00271F3A"/>
    <w:rsid w:val="002725F9"/>
    <w:rsid w:val="00273278"/>
    <w:rsid w:val="002737F4"/>
    <w:rsid w:val="002742C1"/>
    <w:rsid w:val="0027469F"/>
    <w:rsid w:val="002774EE"/>
    <w:rsid w:val="002805F5"/>
    <w:rsid w:val="00280751"/>
    <w:rsid w:val="0028167D"/>
    <w:rsid w:val="0028280A"/>
    <w:rsid w:val="0028343C"/>
    <w:rsid w:val="00283EC7"/>
    <w:rsid w:val="00286ACD"/>
    <w:rsid w:val="00287838"/>
    <w:rsid w:val="002907B5"/>
    <w:rsid w:val="00290C06"/>
    <w:rsid w:val="00291384"/>
    <w:rsid w:val="00291FC9"/>
    <w:rsid w:val="00292EB7"/>
    <w:rsid w:val="00294F06"/>
    <w:rsid w:val="00296227"/>
    <w:rsid w:val="00296F44"/>
    <w:rsid w:val="0029777D"/>
    <w:rsid w:val="002A0387"/>
    <w:rsid w:val="002A055E"/>
    <w:rsid w:val="002A1D4E"/>
    <w:rsid w:val="002A2869"/>
    <w:rsid w:val="002A3012"/>
    <w:rsid w:val="002A397B"/>
    <w:rsid w:val="002A6E34"/>
    <w:rsid w:val="002B11C6"/>
    <w:rsid w:val="002B2223"/>
    <w:rsid w:val="002B24D6"/>
    <w:rsid w:val="002B3287"/>
    <w:rsid w:val="002B3E51"/>
    <w:rsid w:val="002B64A1"/>
    <w:rsid w:val="002C1099"/>
    <w:rsid w:val="002C41E6"/>
    <w:rsid w:val="002C49D7"/>
    <w:rsid w:val="002D071A"/>
    <w:rsid w:val="002D0723"/>
    <w:rsid w:val="002D1239"/>
    <w:rsid w:val="002D1B50"/>
    <w:rsid w:val="002D34B2"/>
    <w:rsid w:val="002D446A"/>
    <w:rsid w:val="002D48B0"/>
    <w:rsid w:val="002D4F75"/>
    <w:rsid w:val="002D5B37"/>
    <w:rsid w:val="002D67A9"/>
    <w:rsid w:val="002D7637"/>
    <w:rsid w:val="002E14B3"/>
    <w:rsid w:val="002E17F2"/>
    <w:rsid w:val="002E21B0"/>
    <w:rsid w:val="002E3684"/>
    <w:rsid w:val="002E6A24"/>
    <w:rsid w:val="002E7CAE"/>
    <w:rsid w:val="002F0061"/>
    <w:rsid w:val="002F2702"/>
    <w:rsid w:val="002F2771"/>
    <w:rsid w:val="002F3466"/>
    <w:rsid w:val="002F37A9"/>
    <w:rsid w:val="002F45FD"/>
    <w:rsid w:val="002F5A6B"/>
    <w:rsid w:val="002F6301"/>
    <w:rsid w:val="002F6DE4"/>
    <w:rsid w:val="002F78C8"/>
    <w:rsid w:val="0030107F"/>
    <w:rsid w:val="00301CE6"/>
    <w:rsid w:val="0030256B"/>
    <w:rsid w:val="0030265B"/>
    <w:rsid w:val="0030501F"/>
    <w:rsid w:val="00306C8A"/>
    <w:rsid w:val="00307BA1"/>
    <w:rsid w:val="00311702"/>
    <w:rsid w:val="00311E82"/>
    <w:rsid w:val="00312D05"/>
    <w:rsid w:val="00312E5D"/>
    <w:rsid w:val="00313FD6"/>
    <w:rsid w:val="003143BD"/>
    <w:rsid w:val="00315363"/>
    <w:rsid w:val="003203ED"/>
    <w:rsid w:val="00320B60"/>
    <w:rsid w:val="00320CD9"/>
    <w:rsid w:val="00322C9F"/>
    <w:rsid w:val="00324D23"/>
    <w:rsid w:val="003255DB"/>
    <w:rsid w:val="00325EB5"/>
    <w:rsid w:val="00327BFD"/>
    <w:rsid w:val="00330D75"/>
    <w:rsid w:val="00331751"/>
    <w:rsid w:val="00334579"/>
    <w:rsid w:val="003357E0"/>
    <w:rsid w:val="00335858"/>
    <w:rsid w:val="00336BDA"/>
    <w:rsid w:val="00342BD7"/>
    <w:rsid w:val="00343A5A"/>
    <w:rsid w:val="003450D0"/>
    <w:rsid w:val="0034567E"/>
    <w:rsid w:val="00346853"/>
    <w:rsid w:val="00346B0A"/>
    <w:rsid w:val="00346DB5"/>
    <w:rsid w:val="003477B1"/>
    <w:rsid w:val="00347800"/>
    <w:rsid w:val="003540CD"/>
    <w:rsid w:val="00357380"/>
    <w:rsid w:val="003602D9"/>
    <w:rsid w:val="003604CE"/>
    <w:rsid w:val="00362672"/>
    <w:rsid w:val="003632F3"/>
    <w:rsid w:val="00363A10"/>
    <w:rsid w:val="00370E3A"/>
    <w:rsid w:val="00370E47"/>
    <w:rsid w:val="003742AC"/>
    <w:rsid w:val="003742B7"/>
    <w:rsid w:val="00376E42"/>
    <w:rsid w:val="0037744C"/>
    <w:rsid w:val="00377CE1"/>
    <w:rsid w:val="003844D3"/>
    <w:rsid w:val="00385BF0"/>
    <w:rsid w:val="00390BAB"/>
    <w:rsid w:val="00391424"/>
    <w:rsid w:val="003939FF"/>
    <w:rsid w:val="00396EE8"/>
    <w:rsid w:val="003A11F6"/>
    <w:rsid w:val="003A182A"/>
    <w:rsid w:val="003A1F65"/>
    <w:rsid w:val="003A2223"/>
    <w:rsid w:val="003A2A0F"/>
    <w:rsid w:val="003A45A1"/>
    <w:rsid w:val="003A50BF"/>
    <w:rsid w:val="003A5B0A"/>
    <w:rsid w:val="003A6BAC"/>
    <w:rsid w:val="003A70A4"/>
    <w:rsid w:val="003A7DE7"/>
    <w:rsid w:val="003A7EF3"/>
    <w:rsid w:val="003B159C"/>
    <w:rsid w:val="003B369F"/>
    <w:rsid w:val="003B36A3"/>
    <w:rsid w:val="003B64BB"/>
    <w:rsid w:val="003B66EE"/>
    <w:rsid w:val="003B6B5C"/>
    <w:rsid w:val="003B7BD2"/>
    <w:rsid w:val="003B7FE5"/>
    <w:rsid w:val="003C11C8"/>
    <w:rsid w:val="003C174C"/>
    <w:rsid w:val="003C2702"/>
    <w:rsid w:val="003C7806"/>
    <w:rsid w:val="003D109F"/>
    <w:rsid w:val="003D2478"/>
    <w:rsid w:val="003D3105"/>
    <w:rsid w:val="003D3C45"/>
    <w:rsid w:val="003D41BA"/>
    <w:rsid w:val="003D5B1F"/>
    <w:rsid w:val="003D5DEE"/>
    <w:rsid w:val="003E15FA"/>
    <w:rsid w:val="003E1891"/>
    <w:rsid w:val="003E1EE5"/>
    <w:rsid w:val="003E55E4"/>
    <w:rsid w:val="003E70F6"/>
    <w:rsid w:val="003E74E3"/>
    <w:rsid w:val="003F03F0"/>
    <w:rsid w:val="003F05C7"/>
    <w:rsid w:val="003F2710"/>
    <w:rsid w:val="003F2C65"/>
    <w:rsid w:val="003F2CD4"/>
    <w:rsid w:val="003F5144"/>
    <w:rsid w:val="003F6BBE"/>
    <w:rsid w:val="004000E8"/>
    <w:rsid w:val="00402E17"/>
    <w:rsid w:val="00402E2B"/>
    <w:rsid w:val="00403865"/>
    <w:rsid w:val="004043B2"/>
    <w:rsid w:val="0040512B"/>
    <w:rsid w:val="00405CA5"/>
    <w:rsid w:val="00407A09"/>
    <w:rsid w:val="00407CD3"/>
    <w:rsid w:val="00410134"/>
    <w:rsid w:val="00410B72"/>
    <w:rsid w:val="00410C8E"/>
    <w:rsid w:val="00410F18"/>
    <w:rsid w:val="0041263E"/>
    <w:rsid w:val="00413919"/>
    <w:rsid w:val="00413AAC"/>
    <w:rsid w:val="00413E92"/>
    <w:rsid w:val="0041469D"/>
    <w:rsid w:val="004156C7"/>
    <w:rsid w:val="00417133"/>
    <w:rsid w:val="004207DE"/>
    <w:rsid w:val="00421105"/>
    <w:rsid w:val="00421D14"/>
    <w:rsid w:val="00422238"/>
    <w:rsid w:val="00422AA4"/>
    <w:rsid w:val="004242F4"/>
    <w:rsid w:val="00427248"/>
    <w:rsid w:val="0043249B"/>
    <w:rsid w:val="0043313C"/>
    <w:rsid w:val="00437447"/>
    <w:rsid w:val="00441A92"/>
    <w:rsid w:val="00442386"/>
    <w:rsid w:val="004431DC"/>
    <w:rsid w:val="004439D5"/>
    <w:rsid w:val="004446A7"/>
    <w:rsid w:val="00444AA1"/>
    <w:rsid w:val="00444AB1"/>
    <w:rsid w:val="00444F56"/>
    <w:rsid w:val="00446488"/>
    <w:rsid w:val="00450B4A"/>
    <w:rsid w:val="004517AA"/>
    <w:rsid w:val="00452CAC"/>
    <w:rsid w:val="00457565"/>
    <w:rsid w:val="00457B71"/>
    <w:rsid w:val="00461876"/>
    <w:rsid w:val="00461F86"/>
    <w:rsid w:val="00462014"/>
    <w:rsid w:val="004669E2"/>
    <w:rsid w:val="00470C31"/>
    <w:rsid w:val="00471A65"/>
    <w:rsid w:val="00471DE0"/>
    <w:rsid w:val="004734D0"/>
    <w:rsid w:val="0047556B"/>
    <w:rsid w:val="004757BE"/>
    <w:rsid w:val="00477768"/>
    <w:rsid w:val="004812B5"/>
    <w:rsid w:val="004840DE"/>
    <w:rsid w:val="0049119E"/>
    <w:rsid w:val="00491E92"/>
    <w:rsid w:val="00492590"/>
    <w:rsid w:val="00492BC5"/>
    <w:rsid w:val="00494357"/>
    <w:rsid w:val="004946CD"/>
    <w:rsid w:val="004964F1"/>
    <w:rsid w:val="004A0353"/>
    <w:rsid w:val="004A0A1A"/>
    <w:rsid w:val="004A16BC"/>
    <w:rsid w:val="004A1916"/>
    <w:rsid w:val="004A1C83"/>
    <w:rsid w:val="004A1F03"/>
    <w:rsid w:val="004A2B94"/>
    <w:rsid w:val="004A342C"/>
    <w:rsid w:val="004A3914"/>
    <w:rsid w:val="004A3B48"/>
    <w:rsid w:val="004B18EB"/>
    <w:rsid w:val="004B2BDD"/>
    <w:rsid w:val="004B6F6A"/>
    <w:rsid w:val="004B7C0C"/>
    <w:rsid w:val="004C0837"/>
    <w:rsid w:val="004C3898"/>
    <w:rsid w:val="004C4FC6"/>
    <w:rsid w:val="004C77E0"/>
    <w:rsid w:val="004D06EB"/>
    <w:rsid w:val="004D0A09"/>
    <w:rsid w:val="004D16DF"/>
    <w:rsid w:val="004D2BC3"/>
    <w:rsid w:val="004D36B1"/>
    <w:rsid w:val="004D4105"/>
    <w:rsid w:val="004D7D8C"/>
    <w:rsid w:val="004D7EBD"/>
    <w:rsid w:val="004E18CA"/>
    <w:rsid w:val="004E2680"/>
    <w:rsid w:val="004E28F9"/>
    <w:rsid w:val="004E462E"/>
    <w:rsid w:val="004E47FC"/>
    <w:rsid w:val="004E56DC"/>
    <w:rsid w:val="004E64FF"/>
    <w:rsid w:val="004E76F4"/>
    <w:rsid w:val="004E7D6B"/>
    <w:rsid w:val="004F0B4E"/>
    <w:rsid w:val="004F0B6C"/>
    <w:rsid w:val="004F1ADA"/>
    <w:rsid w:val="004F2078"/>
    <w:rsid w:val="004F4DA3"/>
    <w:rsid w:val="004F640F"/>
    <w:rsid w:val="0050145E"/>
    <w:rsid w:val="005042F5"/>
    <w:rsid w:val="00506557"/>
    <w:rsid w:val="0050677A"/>
    <w:rsid w:val="00506FEB"/>
    <w:rsid w:val="00507068"/>
    <w:rsid w:val="005108D8"/>
    <w:rsid w:val="005116F9"/>
    <w:rsid w:val="005153A7"/>
    <w:rsid w:val="00517AC6"/>
    <w:rsid w:val="005209DB"/>
    <w:rsid w:val="005219CF"/>
    <w:rsid w:val="005232EA"/>
    <w:rsid w:val="00524317"/>
    <w:rsid w:val="005254C3"/>
    <w:rsid w:val="005258C7"/>
    <w:rsid w:val="005303E2"/>
    <w:rsid w:val="00532121"/>
    <w:rsid w:val="00534B59"/>
    <w:rsid w:val="00536759"/>
    <w:rsid w:val="00537C62"/>
    <w:rsid w:val="00540AD1"/>
    <w:rsid w:val="00541A2A"/>
    <w:rsid w:val="00545283"/>
    <w:rsid w:val="00545B26"/>
    <w:rsid w:val="00546719"/>
    <w:rsid w:val="00546970"/>
    <w:rsid w:val="0055197F"/>
    <w:rsid w:val="00552205"/>
    <w:rsid w:val="0055225F"/>
    <w:rsid w:val="0055307C"/>
    <w:rsid w:val="00553473"/>
    <w:rsid w:val="005535AE"/>
    <w:rsid w:val="00554E19"/>
    <w:rsid w:val="00556A28"/>
    <w:rsid w:val="00557CC4"/>
    <w:rsid w:val="0056121F"/>
    <w:rsid w:val="00561464"/>
    <w:rsid w:val="00567956"/>
    <w:rsid w:val="00572505"/>
    <w:rsid w:val="00572552"/>
    <w:rsid w:val="00573FEE"/>
    <w:rsid w:val="00574BB0"/>
    <w:rsid w:val="0057551D"/>
    <w:rsid w:val="00575D96"/>
    <w:rsid w:val="0057607D"/>
    <w:rsid w:val="005769AE"/>
    <w:rsid w:val="00577689"/>
    <w:rsid w:val="00577F65"/>
    <w:rsid w:val="00580686"/>
    <w:rsid w:val="00582809"/>
    <w:rsid w:val="00582DDA"/>
    <w:rsid w:val="00583B2E"/>
    <w:rsid w:val="005844A9"/>
    <w:rsid w:val="00584A4A"/>
    <w:rsid w:val="0058798C"/>
    <w:rsid w:val="00587F78"/>
    <w:rsid w:val="005900FA"/>
    <w:rsid w:val="00591179"/>
    <w:rsid w:val="005935A4"/>
    <w:rsid w:val="00593D7F"/>
    <w:rsid w:val="005948C2"/>
    <w:rsid w:val="00594BD9"/>
    <w:rsid w:val="00595DCA"/>
    <w:rsid w:val="0059779B"/>
    <w:rsid w:val="005A209A"/>
    <w:rsid w:val="005A2ECF"/>
    <w:rsid w:val="005A3CCC"/>
    <w:rsid w:val="005A638B"/>
    <w:rsid w:val="005A662D"/>
    <w:rsid w:val="005A7637"/>
    <w:rsid w:val="005A7B89"/>
    <w:rsid w:val="005B1409"/>
    <w:rsid w:val="005B35D7"/>
    <w:rsid w:val="005B392A"/>
    <w:rsid w:val="005B3AA3"/>
    <w:rsid w:val="005B419F"/>
    <w:rsid w:val="005B420C"/>
    <w:rsid w:val="005B5338"/>
    <w:rsid w:val="005B547B"/>
    <w:rsid w:val="005B657E"/>
    <w:rsid w:val="005B6F83"/>
    <w:rsid w:val="005B71E3"/>
    <w:rsid w:val="005B7FE3"/>
    <w:rsid w:val="005C17E6"/>
    <w:rsid w:val="005C1A64"/>
    <w:rsid w:val="005C3316"/>
    <w:rsid w:val="005C4CC9"/>
    <w:rsid w:val="005C4D7F"/>
    <w:rsid w:val="005C5B11"/>
    <w:rsid w:val="005C5BB4"/>
    <w:rsid w:val="005C6575"/>
    <w:rsid w:val="005C74FB"/>
    <w:rsid w:val="005D0E0D"/>
    <w:rsid w:val="005D1602"/>
    <w:rsid w:val="005D74B1"/>
    <w:rsid w:val="005D7921"/>
    <w:rsid w:val="005E00A4"/>
    <w:rsid w:val="005E174B"/>
    <w:rsid w:val="005E27E6"/>
    <w:rsid w:val="005E2969"/>
    <w:rsid w:val="005E317B"/>
    <w:rsid w:val="005E385F"/>
    <w:rsid w:val="005E419D"/>
    <w:rsid w:val="005E5B81"/>
    <w:rsid w:val="005E6883"/>
    <w:rsid w:val="005F1184"/>
    <w:rsid w:val="005F1CC0"/>
    <w:rsid w:val="005F2CB1"/>
    <w:rsid w:val="005F3025"/>
    <w:rsid w:val="005F3F5E"/>
    <w:rsid w:val="005F5963"/>
    <w:rsid w:val="005F5D59"/>
    <w:rsid w:val="005F618C"/>
    <w:rsid w:val="005F670F"/>
    <w:rsid w:val="005F70BD"/>
    <w:rsid w:val="0060034D"/>
    <w:rsid w:val="0060283C"/>
    <w:rsid w:val="00602F10"/>
    <w:rsid w:val="00604E4B"/>
    <w:rsid w:val="00604F14"/>
    <w:rsid w:val="0060716A"/>
    <w:rsid w:val="00611B83"/>
    <w:rsid w:val="00612D39"/>
    <w:rsid w:val="00613257"/>
    <w:rsid w:val="006147ED"/>
    <w:rsid w:val="00620A71"/>
    <w:rsid w:val="00620D80"/>
    <w:rsid w:val="00621310"/>
    <w:rsid w:val="006234A6"/>
    <w:rsid w:val="00626950"/>
    <w:rsid w:val="00627510"/>
    <w:rsid w:val="00630001"/>
    <w:rsid w:val="006302D0"/>
    <w:rsid w:val="006311B3"/>
    <w:rsid w:val="0063284C"/>
    <w:rsid w:val="0063309A"/>
    <w:rsid w:val="00636398"/>
    <w:rsid w:val="00636823"/>
    <w:rsid w:val="006368D3"/>
    <w:rsid w:val="00636A1C"/>
    <w:rsid w:val="00637011"/>
    <w:rsid w:val="006377EC"/>
    <w:rsid w:val="0064123C"/>
    <w:rsid w:val="0064151F"/>
    <w:rsid w:val="00641533"/>
    <w:rsid w:val="0064208D"/>
    <w:rsid w:val="00643475"/>
    <w:rsid w:val="0064396A"/>
    <w:rsid w:val="00643BD4"/>
    <w:rsid w:val="00643DDB"/>
    <w:rsid w:val="0064624E"/>
    <w:rsid w:val="006508AC"/>
    <w:rsid w:val="00650AB9"/>
    <w:rsid w:val="006513A6"/>
    <w:rsid w:val="00655733"/>
    <w:rsid w:val="00655ACD"/>
    <w:rsid w:val="00655CDB"/>
    <w:rsid w:val="00656A92"/>
    <w:rsid w:val="00656DDE"/>
    <w:rsid w:val="0066011D"/>
    <w:rsid w:val="006607AF"/>
    <w:rsid w:val="006607C0"/>
    <w:rsid w:val="006609A5"/>
    <w:rsid w:val="006613A6"/>
    <w:rsid w:val="006627A2"/>
    <w:rsid w:val="006634E6"/>
    <w:rsid w:val="006655EE"/>
    <w:rsid w:val="0066631E"/>
    <w:rsid w:val="006672CE"/>
    <w:rsid w:val="00667EE7"/>
    <w:rsid w:val="00670922"/>
    <w:rsid w:val="006709D5"/>
    <w:rsid w:val="00670BE1"/>
    <w:rsid w:val="00671A5E"/>
    <w:rsid w:val="0067218F"/>
    <w:rsid w:val="006741F2"/>
    <w:rsid w:val="00674413"/>
    <w:rsid w:val="00674CC3"/>
    <w:rsid w:val="0067551F"/>
    <w:rsid w:val="00675754"/>
    <w:rsid w:val="00675C72"/>
    <w:rsid w:val="006771F9"/>
    <w:rsid w:val="006776D7"/>
    <w:rsid w:val="00677C05"/>
    <w:rsid w:val="00681003"/>
    <w:rsid w:val="006817C9"/>
    <w:rsid w:val="00682291"/>
    <w:rsid w:val="00683192"/>
    <w:rsid w:val="00683ECE"/>
    <w:rsid w:val="00686367"/>
    <w:rsid w:val="0068711F"/>
    <w:rsid w:val="00695C3C"/>
    <w:rsid w:val="00695FC2"/>
    <w:rsid w:val="00696949"/>
    <w:rsid w:val="00697052"/>
    <w:rsid w:val="006A3042"/>
    <w:rsid w:val="006A46FB"/>
    <w:rsid w:val="006A5E28"/>
    <w:rsid w:val="006A6150"/>
    <w:rsid w:val="006A697B"/>
    <w:rsid w:val="006A7AFF"/>
    <w:rsid w:val="006B1816"/>
    <w:rsid w:val="006B2099"/>
    <w:rsid w:val="006B3BEF"/>
    <w:rsid w:val="006B4F77"/>
    <w:rsid w:val="006B50CF"/>
    <w:rsid w:val="006B56F2"/>
    <w:rsid w:val="006B7994"/>
    <w:rsid w:val="006B7E68"/>
    <w:rsid w:val="006C03B8"/>
    <w:rsid w:val="006C5EC9"/>
    <w:rsid w:val="006C6059"/>
    <w:rsid w:val="006C7522"/>
    <w:rsid w:val="006D0D93"/>
    <w:rsid w:val="006D26C8"/>
    <w:rsid w:val="006D3E59"/>
    <w:rsid w:val="006D6F08"/>
    <w:rsid w:val="006E062C"/>
    <w:rsid w:val="006E132C"/>
    <w:rsid w:val="006E1C82"/>
    <w:rsid w:val="006E206D"/>
    <w:rsid w:val="006E28B7"/>
    <w:rsid w:val="006E2A9B"/>
    <w:rsid w:val="006E32A9"/>
    <w:rsid w:val="006E3310"/>
    <w:rsid w:val="006E4E39"/>
    <w:rsid w:val="006E565E"/>
    <w:rsid w:val="006E673D"/>
    <w:rsid w:val="006E6BD6"/>
    <w:rsid w:val="006E7D3B"/>
    <w:rsid w:val="006F1279"/>
    <w:rsid w:val="006F1B70"/>
    <w:rsid w:val="006F33F4"/>
    <w:rsid w:val="006F341D"/>
    <w:rsid w:val="006F35C7"/>
    <w:rsid w:val="006F3A65"/>
    <w:rsid w:val="006F3CDE"/>
    <w:rsid w:val="006F58D4"/>
    <w:rsid w:val="006F6582"/>
    <w:rsid w:val="0070346E"/>
    <w:rsid w:val="00704EDB"/>
    <w:rsid w:val="00706101"/>
    <w:rsid w:val="00707072"/>
    <w:rsid w:val="00707D61"/>
    <w:rsid w:val="00707E87"/>
    <w:rsid w:val="00710C39"/>
    <w:rsid w:val="007112CD"/>
    <w:rsid w:val="00711D21"/>
    <w:rsid w:val="00712287"/>
    <w:rsid w:val="00712772"/>
    <w:rsid w:val="007148D3"/>
    <w:rsid w:val="00715B9A"/>
    <w:rsid w:val="00716813"/>
    <w:rsid w:val="00717A41"/>
    <w:rsid w:val="007230B4"/>
    <w:rsid w:val="007253DA"/>
    <w:rsid w:val="007257D0"/>
    <w:rsid w:val="00726EA6"/>
    <w:rsid w:val="00727208"/>
    <w:rsid w:val="00727680"/>
    <w:rsid w:val="007314F4"/>
    <w:rsid w:val="00732271"/>
    <w:rsid w:val="007331C5"/>
    <w:rsid w:val="00733632"/>
    <w:rsid w:val="00733BC3"/>
    <w:rsid w:val="0073412A"/>
    <w:rsid w:val="007348B1"/>
    <w:rsid w:val="00735205"/>
    <w:rsid w:val="00735296"/>
    <w:rsid w:val="007362A6"/>
    <w:rsid w:val="00736D7D"/>
    <w:rsid w:val="00740695"/>
    <w:rsid w:val="00740E58"/>
    <w:rsid w:val="007416FD"/>
    <w:rsid w:val="00741E65"/>
    <w:rsid w:val="007445A0"/>
    <w:rsid w:val="007450D6"/>
    <w:rsid w:val="0074524B"/>
    <w:rsid w:val="00746BB9"/>
    <w:rsid w:val="0074757D"/>
    <w:rsid w:val="00747D8B"/>
    <w:rsid w:val="00751228"/>
    <w:rsid w:val="00754C1A"/>
    <w:rsid w:val="007571E1"/>
    <w:rsid w:val="007604B2"/>
    <w:rsid w:val="0076356E"/>
    <w:rsid w:val="00765281"/>
    <w:rsid w:val="00766BAD"/>
    <w:rsid w:val="0076717A"/>
    <w:rsid w:val="00767F63"/>
    <w:rsid w:val="00770E41"/>
    <w:rsid w:val="00772379"/>
    <w:rsid w:val="007729A2"/>
    <w:rsid w:val="00773299"/>
    <w:rsid w:val="007755F2"/>
    <w:rsid w:val="00776971"/>
    <w:rsid w:val="007805D3"/>
    <w:rsid w:val="00780A80"/>
    <w:rsid w:val="00781433"/>
    <w:rsid w:val="0078177E"/>
    <w:rsid w:val="007822AA"/>
    <w:rsid w:val="0078304C"/>
    <w:rsid w:val="00783673"/>
    <w:rsid w:val="00785490"/>
    <w:rsid w:val="007861DF"/>
    <w:rsid w:val="00790F11"/>
    <w:rsid w:val="007925EA"/>
    <w:rsid w:val="00792FC7"/>
    <w:rsid w:val="00793CD8"/>
    <w:rsid w:val="00794F57"/>
    <w:rsid w:val="00795490"/>
    <w:rsid w:val="00795C92"/>
    <w:rsid w:val="00796231"/>
    <w:rsid w:val="007A1214"/>
    <w:rsid w:val="007A1CB3"/>
    <w:rsid w:val="007A306F"/>
    <w:rsid w:val="007A43A6"/>
    <w:rsid w:val="007A58A6"/>
    <w:rsid w:val="007A730E"/>
    <w:rsid w:val="007A755C"/>
    <w:rsid w:val="007B2536"/>
    <w:rsid w:val="007B3D2D"/>
    <w:rsid w:val="007B50AE"/>
    <w:rsid w:val="007B51DF"/>
    <w:rsid w:val="007C05DD"/>
    <w:rsid w:val="007C3D18"/>
    <w:rsid w:val="007C4B4E"/>
    <w:rsid w:val="007C60BF"/>
    <w:rsid w:val="007C6A07"/>
    <w:rsid w:val="007C75A1"/>
    <w:rsid w:val="007C77A5"/>
    <w:rsid w:val="007D04E5"/>
    <w:rsid w:val="007D0C1D"/>
    <w:rsid w:val="007D1FBF"/>
    <w:rsid w:val="007D4B92"/>
    <w:rsid w:val="007D5901"/>
    <w:rsid w:val="007D6744"/>
    <w:rsid w:val="007D7526"/>
    <w:rsid w:val="007E4610"/>
    <w:rsid w:val="007E4715"/>
    <w:rsid w:val="007E505B"/>
    <w:rsid w:val="007E7091"/>
    <w:rsid w:val="007E7FCE"/>
    <w:rsid w:val="007F0BEE"/>
    <w:rsid w:val="007F6428"/>
    <w:rsid w:val="007F68B7"/>
    <w:rsid w:val="0080129F"/>
    <w:rsid w:val="00801693"/>
    <w:rsid w:val="00801DA5"/>
    <w:rsid w:val="00801E14"/>
    <w:rsid w:val="00801E69"/>
    <w:rsid w:val="00803FAE"/>
    <w:rsid w:val="0080605F"/>
    <w:rsid w:val="008071B3"/>
    <w:rsid w:val="00807786"/>
    <w:rsid w:val="00810D89"/>
    <w:rsid w:val="00811366"/>
    <w:rsid w:val="00811986"/>
    <w:rsid w:val="00811FCB"/>
    <w:rsid w:val="008137A8"/>
    <w:rsid w:val="008158D6"/>
    <w:rsid w:val="008166B6"/>
    <w:rsid w:val="00817196"/>
    <w:rsid w:val="008235DB"/>
    <w:rsid w:val="00824AB4"/>
    <w:rsid w:val="00824E5E"/>
    <w:rsid w:val="00825C42"/>
    <w:rsid w:val="00825D25"/>
    <w:rsid w:val="0082685A"/>
    <w:rsid w:val="00827D6F"/>
    <w:rsid w:val="00830685"/>
    <w:rsid w:val="008315AB"/>
    <w:rsid w:val="0083310B"/>
    <w:rsid w:val="00835F53"/>
    <w:rsid w:val="00836C52"/>
    <w:rsid w:val="008376AC"/>
    <w:rsid w:val="00842368"/>
    <w:rsid w:val="00842C55"/>
    <w:rsid w:val="00843099"/>
    <w:rsid w:val="00843250"/>
    <w:rsid w:val="008444E8"/>
    <w:rsid w:val="00844E80"/>
    <w:rsid w:val="008450E3"/>
    <w:rsid w:val="00845BAD"/>
    <w:rsid w:val="00846FE7"/>
    <w:rsid w:val="00847A21"/>
    <w:rsid w:val="008518AC"/>
    <w:rsid w:val="00852CF8"/>
    <w:rsid w:val="0085582A"/>
    <w:rsid w:val="00856911"/>
    <w:rsid w:val="00861EB8"/>
    <w:rsid w:val="00863ED0"/>
    <w:rsid w:val="00864C0E"/>
    <w:rsid w:val="00866BB8"/>
    <w:rsid w:val="008677FD"/>
    <w:rsid w:val="008706D4"/>
    <w:rsid w:val="00870F8A"/>
    <w:rsid w:val="008719A4"/>
    <w:rsid w:val="00871D23"/>
    <w:rsid w:val="00874312"/>
    <w:rsid w:val="0087437C"/>
    <w:rsid w:val="008746CE"/>
    <w:rsid w:val="00875CD7"/>
    <w:rsid w:val="00876B4D"/>
    <w:rsid w:val="00877F18"/>
    <w:rsid w:val="008804C3"/>
    <w:rsid w:val="008813BD"/>
    <w:rsid w:val="0088148B"/>
    <w:rsid w:val="00881D34"/>
    <w:rsid w:val="0088256B"/>
    <w:rsid w:val="00887277"/>
    <w:rsid w:val="008872C1"/>
    <w:rsid w:val="008904BD"/>
    <w:rsid w:val="00890B2E"/>
    <w:rsid w:val="0089120F"/>
    <w:rsid w:val="00891958"/>
    <w:rsid w:val="00893428"/>
    <w:rsid w:val="008941E3"/>
    <w:rsid w:val="008946F9"/>
    <w:rsid w:val="008948AD"/>
    <w:rsid w:val="00894A88"/>
    <w:rsid w:val="00894E46"/>
    <w:rsid w:val="00894FBF"/>
    <w:rsid w:val="00895386"/>
    <w:rsid w:val="008969D4"/>
    <w:rsid w:val="008A124E"/>
    <w:rsid w:val="008A21FF"/>
    <w:rsid w:val="008A2CE2"/>
    <w:rsid w:val="008A30AC"/>
    <w:rsid w:val="008A3B96"/>
    <w:rsid w:val="008A44B8"/>
    <w:rsid w:val="008A51A8"/>
    <w:rsid w:val="008A54C7"/>
    <w:rsid w:val="008A76F4"/>
    <w:rsid w:val="008A77D8"/>
    <w:rsid w:val="008B0483"/>
    <w:rsid w:val="008B120C"/>
    <w:rsid w:val="008B48BD"/>
    <w:rsid w:val="008B51A0"/>
    <w:rsid w:val="008B5210"/>
    <w:rsid w:val="008B54F5"/>
    <w:rsid w:val="008B592A"/>
    <w:rsid w:val="008B7B5C"/>
    <w:rsid w:val="008C0C99"/>
    <w:rsid w:val="008C2017"/>
    <w:rsid w:val="008C4958"/>
    <w:rsid w:val="008C4BAA"/>
    <w:rsid w:val="008C5224"/>
    <w:rsid w:val="008C6AE8"/>
    <w:rsid w:val="008C7573"/>
    <w:rsid w:val="008D00A5"/>
    <w:rsid w:val="008D34F1"/>
    <w:rsid w:val="008D39D8"/>
    <w:rsid w:val="008D6D1A"/>
    <w:rsid w:val="008D78BF"/>
    <w:rsid w:val="008E065E"/>
    <w:rsid w:val="008E0927"/>
    <w:rsid w:val="008E1909"/>
    <w:rsid w:val="008E2CCF"/>
    <w:rsid w:val="008F074E"/>
    <w:rsid w:val="008F096C"/>
    <w:rsid w:val="008F1094"/>
    <w:rsid w:val="008F1C4E"/>
    <w:rsid w:val="008F1EAB"/>
    <w:rsid w:val="008F33DC"/>
    <w:rsid w:val="008F477F"/>
    <w:rsid w:val="00902350"/>
    <w:rsid w:val="0090336B"/>
    <w:rsid w:val="00903AB4"/>
    <w:rsid w:val="009053AA"/>
    <w:rsid w:val="00906939"/>
    <w:rsid w:val="00910B7D"/>
    <w:rsid w:val="009111D1"/>
    <w:rsid w:val="00911DFB"/>
    <w:rsid w:val="00912669"/>
    <w:rsid w:val="009132BA"/>
    <w:rsid w:val="009139D9"/>
    <w:rsid w:val="00914AD8"/>
    <w:rsid w:val="00915771"/>
    <w:rsid w:val="00916079"/>
    <w:rsid w:val="00917CE9"/>
    <w:rsid w:val="00917EF4"/>
    <w:rsid w:val="00920BF2"/>
    <w:rsid w:val="00921877"/>
    <w:rsid w:val="00922010"/>
    <w:rsid w:val="00925E78"/>
    <w:rsid w:val="0092691A"/>
    <w:rsid w:val="00931BD9"/>
    <w:rsid w:val="00933404"/>
    <w:rsid w:val="00934171"/>
    <w:rsid w:val="009368F3"/>
    <w:rsid w:val="00941636"/>
    <w:rsid w:val="009417D1"/>
    <w:rsid w:val="0094202C"/>
    <w:rsid w:val="00943742"/>
    <w:rsid w:val="009442BC"/>
    <w:rsid w:val="00944D6E"/>
    <w:rsid w:val="00945C05"/>
    <w:rsid w:val="0094692A"/>
    <w:rsid w:val="00946945"/>
    <w:rsid w:val="00946C9F"/>
    <w:rsid w:val="00947713"/>
    <w:rsid w:val="00950580"/>
    <w:rsid w:val="00950DE7"/>
    <w:rsid w:val="009511E3"/>
    <w:rsid w:val="00953920"/>
    <w:rsid w:val="00953D47"/>
    <w:rsid w:val="00955452"/>
    <w:rsid w:val="0095681E"/>
    <w:rsid w:val="009572D4"/>
    <w:rsid w:val="00957E40"/>
    <w:rsid w:val="00961733"/>
    <w:rsid w:val="00961921"/>
    <w:rsid w:val="00962627"/>
    <w:rsid w:val="0096359F"/>
    <w:rsid w:val="0096430A"/>
    <w:rsid w:val="0096554B"/>
    <w:rsid w:val="0096584A"/>
    <w:rsid w:val="00965F77"/>
    <w:rsid w:val="0096644D"/>
    <w:rsid w:val="009674AA"/>
    <w:rsid w:val="0096782E"/>
    <w:rsid w:val="00970019"/>
    <w:rsid w:val="00971F08"/>
    <w:rsid w:val="0097603D"/>
    <w:rsid w:val="00976949"/>
    <w:rsid w:val="00977B7C"/>
    <w:rsid w:val="00980477"/>
    <w:rsid w:val="00985253"/>
    <w:rsid w:val="009853B3"/>
    <w:rsid w:val="009853CF"/>
    <w:rsid w:val="00985553"/>
    <w:rsid w:val="00985810"/>
    <w:rsid w:val="00990630"/>
    <w:rsid w:val="00991761"/>
    <w:rsid w:val="009917DD"/>
    <w:rsid w:val="00994DCA"/>
    <w:rsid w:val="009960EC"/>
    <w:rsid w:val="00996ED1"/>
    <w:rsid w:val="009970DD"/>
    <w:rsid w:val="009A0FBA"/>
    <w:rsid w:val="009A1601"/>
    <w:rsid w:val="009A1AA2"/>
    <w:rsid w:val="009A3BB6"/>
    <w:rsid w:val="009A462D"/>
    <w:rsid w:val="009A5CBA"/>
    <w:rsid w:val="009B1F30"/>
    <w:rsid w:val="009B2F67"/>
    <w:rsid w:val="009B3AC2"/>
    <w:rsid w:val="009B4DF4"/>
    <w:rsid w:val="009B5581"/>
    <w:rsid w:val="009B564E"/>
    <w:rsid w:val="009B7520"/>
    <w:rsid w:val="009B7E87"/>
    <w:rsid w:val="009C0169"/>
    <w:rsid w:val="009C15EA"/>
    <w:rsid w:val="009C31AA"/>
    <w:rsid w:val="009C3314"/>
    <w:rsid w:val="009C403E"/>
    <w:rsid w:val="009C6074"/>
    <w:rsid w:val="009C70F5"/>
    <w:rsid w:val="009D0DF1"/>
    <w:rsid w:val="009D1DA3"/>
    <w:rsid w:val="009D275D"/>
    <w:rsid w:val="009D2876"/>
    <w:rsid w:val="009D2E65"/>
    <w:rsid w:val="009D4FF0"/>
    <w:rsid w:val="009D703C"/>
    <w:rsid w:val="009D718F"/>
    <w:rsid w:val="009D7443"/>
    <w:rsid w:val="009E068F"/>
    <w:rsid w:val="009E14E0"/>
    <w:rsid w:val="009E35DB"/>
    <w:rsid w:val="009E4671"/>
    <w:rsid w:val="009E47A3"/>
    <w:rsid w:val="009E63E9"/>
    <w:rsid w:val="009F08F3"/>
    <w:rsid w:val="009F344F"/>
    <w:rsid w:val="009F3C6D"/>
    <w:rsid w:val="009F48D2"/>
    <w:rsid w:val="00A02D3C"/>
    <w:rsid w:val="00A031D8"/>
    <w:rsid w:val="00A03F76"/>
    <w:rsid w:val="00A048A8"/>
    <w:rsid w:val="00A04F49"/>
    <w:rsid w:val="00A06760"/>
    <w:rsid w:val="00A11B6D"/>
    <w:rsid w:val="00A12045"/>
    <w:rsid w:val="00A13E54"/>
    <w:rsid w:val="00A17F63"/>
    <w:rsid w:val="00A2193B"/>
    <w:rsid w:val="00A22611"/>
    <w:rsid w:val="00A229E6"/>
    <w:rsid w:val="00A2351A"/>
    <w:rsid w:val="00A23672"/>
    <w:rsid w:val="00A25254"/>
    <w:rsid w:val="00A264A9"/>
    <w:rsid w:val="00A26737"/>
    <w:rsid w:val="00A26DCF"/>
    <w:rsid w:val="00A27785"/>
    <w:rsid w:val="00A30187"/>
    <w:rsid w:val="00A32953"/>
    <w:rsid w:val="00A32D4A"/>
    <w:rsid w:val="00A3401A"/>
    <w:rsid w:val="00A3448A"/>
    <w:rsid w:val="00A353DC"/>
    <w:rsid w:val="00A35994"/>
    <w:rsid w:val="00A36297"/>
    <w:rsid w:val="00A41979"/>
    <w:rsid w:val="00A41E2B"/>
    <w:rsid w:val="00A45B74"/>
    <w:rsid w:val="00A45FF4"/>
    <w:rsid w:val="00A51DED"/>
    <w:rsid w:val="00A52E1D"/>
    <w:rsid w:val="00A53E4C"/>
    <w:rsid w:val="00A56A82"/>
    <w:rsid w:val="00A60BD0"/>
    <w:rsid w:val="00A60CAF"/>
    <w:rsid w:val="00A60EFE"/>
    <w:rsid w:val="00A61499"/>
    <w:rsid w:val="00A61D3F"/>
    <w:rsid w:val="00A61DD2"/>
    <w:rsid w:val="00A623F4"/>
    <w:rsid w:val="00A626D8"/>
    <w:rsid w:val="00A62A77"/>
    <w:rsid w:val="00A63483"/>
    <w:rsid w:val="00A649B3"/>
    <w:rsid w:val="00A657D7"/>
    <w:rsid w:val="00A660AC"/>
    <w:rsid w:val="00A674CA"/>
    <w:rsid w:val="00A67E6C"/>
    <w:rsid w:val="00A70154"/>
    <w:rsid w:val="00A707B1"/>
    <w:rsid w:val="00A716E3"/>
    <w:rsid w:val="00A71B99"/>
    <w:rsid w:val="00A72B81"/>
    <w:rsid w:val="00A7336C"/>
    <w:rsid w:val="00A739D0"/>
    <w:rsid w:val="00A761D4"/>
    <w:rsid w:val="00A77EC4"/>
    <w:rsid w:val="00A81272"/>
    <w:rsid w:val="00A86F11"/>
    <w:rsid w:val="00A87B7B"/>
    <w:rsid w:val="00A87E8B"/>
    <w:rsid w:val="00A91137"/>
    <w:rsid w:val="00A92879"/>
    <w:rsid w:val="00A9442A"/>
    <w:rsid w:val="00A94E55"/>
    <w:rsid w:val="00A96386"/>
    <w:rsid w:val="00A9654D"/>
    <w:rsid w:val="00AA016F"/>
    <w:rsid w:val="00AA0A4F"/>
    <w:rsid w:val="00AA1ED6"/>
    <w:rsid w:val="00AA3783"/>
    <w:rsid w:val="00AA51D6"/>
    <w:rsid w:val="00AB015D"/>
    <w:rsid w:val="00AB0489"/>
    <w:rsid w:val="00AB0BC8"/>
    <w:rsid w:val="00AB11CA"/>
    <w:rsid w:val="00AB14D9"/>
    <w:rsid w:val="00AB263D"/>
    <w:rsid w:val="00AB3224"/>
    <w:rsid w:val="00AB3366"/>
    <w:rsid w:val="00AB4AB8"/>
    <w:rsid w:val="00AB655E"/>
    <w:rsid w:val="00AB7323"/>
    <w:rsid w:val="00AB7E5A"/>
    <w:rsid w:val="00AC007F"/>
    <w:rsid w:val="00AC1F74"/>
    <w:rsid w:val="00AC2E17"/>
    <w:rsid w:val="00AC2ECD"/>
    <w:rsid w:val="00AC3119"/>
    <w:rsid w:val="00AC49FB"/>
    <w:rsid w:val="00AC5A10"/>
    <w:rsid w:val="00AC6249"/>
    <w:rsid w:val="00AC74B4"/>
    <w:rsid w:val="00AC7AC0"/>
    <w:rsid w:val="00AD0AA3"/>
    <w:rsid w:val="00AD2ED0"/>
    <w:rsid w:val="00AD3F94"/>
    <w:rsid w:val="00AD4051"/>
    <w:rsid w:val="00AD4A5A"/>
    <w:rsid w:val="00AE0B19"/>
    <w:rsid w:val="00AE27AC"/>
    <w:rsid w:val="00AE35B8"/>
    <w:rsid w:val="00AE40E0"/>
    <w:rsid w:val="00AE4593"/>
    <w:rsid w:val="00AE4DBA"/>
    <w:rsid w:val="00AE4F07"/>
    <w:rsid w:val="00AE7A6D"/>
    <w:rsid w:val="00AE7C0F"/>
    <w:rsid w:val="00AF0126"/>
    <w:rsid w:val="00AF1128"/>
    <w:rsid w:val="00AF1C5D"/>
    <w:rsid w:val="00AF2878"/>
    <w:rsid w:val="00AF42D7"/>
    <w:rsid w:val="00AF68A0"/>
    <w:rsid w:val="00AF7F29"/>
    <w:rsid w:val="00B006FE"/>
    <w:rsid w:val="00B007CB"/>
    <w:rsid w:val="00B01453"/>
    <w:rsid w:val="00B01CB2"/>
    <w:rsid w:val="00B021BA"/>
    <w:rsid w:val="00B02AA9"/>
    <w:rsid w:val="00B02CDD"/>
    <w:rsid w:val="00B02FA3"/>
    <w:rsid w:val="00B03941"/>
    <w:rsid w:val="00B05084"/>
    <w:rsid w:val="00B0524D"/>
    <w:rsid w:val="00B06D28"/>
    <w:rsid w:val="00B075DC"/>
    <w:rsid w:val="00B11C95"/>
    <w:rsid w:val="00B11F4E"/>
    <w:rsid w:val="00B1349E"/>
    <w:rsid w:val="00B140F9"/>
    <w:rsid w:val="00B14E13"/>
    <w:rsid w:val="00B155FA"/>
    <w:rsid w:val="00B157F9"/>
    <w:rsid w:val="00B16036"/>
    <w:rsid w:val="00B16547"/>
    <w:rsid w:val="00B20256"/>
    <w:rsid w:val="00B20D09"/>
    <w:rsid w:val="00B21CF1"/>
    <w:rsid w:val="00B229D4"/>
    <w:rsid w:val="00B23EB3"/>
    <w:rsid w:val="00B249B5"/>
    <w:rsid w:val="00B25546"/>
    <w:rsid w:val="00B25F47"/>
    <w:rsid w:val="00B26C02"/>
    <w:rsid w:val="00B2763F"/>
    <w:rsid w:val="00B2774B"/>
    <w:rsid w:val="00B27AAC"/>
    <w:rsid w:val="00B30929"/>
    <w:rsid w:val="00B31019"/>
    <w:rsid w:val="00B372AA"/>
    <w:rsid w:val="00B40445"/>
    <w:rsid w:val="00B409E0"/>
    <w:rsid w:val="00B41888"/>
    <w:rsid w:val="00B43495"/>
    <w:rsid w:val="00B44FE4"/>
    <w:rsid w:val="00B45149"/>
    <w:rsid w:val="00B45266"/>
    <w:rsid w:val="00B45A52"/>
    <w:rsid w:val="00B46175"/>
    <w:rsid w:val="00B52D1C"/>
    <w:rsid w:val="00B53657"/>
    <w:rsid w:val="00B53A95"/>
    <w:rsid w:val="00B53AF6"/>
    <w:rsid w:val="00B54413"/>
    <w:rsid w:val="00B548B7"/>
    <w:rsid w:val="00B55508"/>
    <w:rsid w:val="00B5635E"/>
    <w:rsid w:val="00B57511"/>
    <w:rsid w:val="00B664C7"/>
    <w:rsid w:val="00B67385"/>
    <w:rsid w:val="00B704EA"/>
    <w:rsid w:val="00B70BE0"/>
    <w:rsid w:val="00B7124E"/>
    <w:rsid w:val="00B739F6"/>
    <w:rsid w:val="00B74548"/>
    <w:rsid w:val="00B74704"/>
    <w:rsid w:val="00B75080"/>
    <w:rsid w:val="00B807F5"/>
    <w:rsid w:val="00B81A6C"/>
    <w:rsid w:val="00B82C96"/>
    <w:rsid w:val="00B85DE5"/>
    <w:rsid w:val="00B8695D"/>
    <w:rsid w:val="00B87D66"/>
    <w:rsid w:val="00B90F73"/>
    <w:rsid w:val="00B92A13"/>
    <w:rsid w:val="00B93B59"/>
    <w:rsid w:val="00B9406A"/>
    <w:rsid w:val="00B94FF0"/>
    <w:rsid w:val="00B9645A"/>
    <w:rsid w:val="00B97737"/>
    <w:rsid w:val="00BA2280"/>
    <w:rsid w:val="00BA2A08"/>
    <w:rsid w:val="00BA56D2"/>
    <w:rsid w:val="00BA76E0"/>
    <w:rsid w:val="00BB26DA"/>
    <w:rsid w:val="00BB2A25"/>
    <w:rsid w:val="00BB3AD6"/>
    <w:rsid w:val="00BB400A"/>
    <w:rsid w:val="00BB51E9"/>
    <w:rsid w:val="00BB77C5"/>
    <w:rsid w:val="00BC0FDC"/>
    <w:rsid w:val="00BC112F"/>
    <w:rsid w:val="00BC3053"/>
    <w:rsid w:val="00BC4D2E"/>
    <w:rsid w:val="00BC744B"/>
    <w:rsid w:val="00BD1BA8"/>
    <w:rsid w:val="00BD48AC"/>
    <w:rsid w:val="00BD53DC"/>
    <w:rsid w:val="00BD5D7F"/>
    <w:rsid w:val="00BD5F1A"/>
    <w:rsid w:val="00BE1234"/>
    <w:rsid w:val="00BE1BB1"/>
    <w:rsid w:val="00BE225E"/>
    <w:rsid w:val="00BE2FA6"/>
    <w:rsid w:val="00BE333F"/>
    <w:rsid w:val="00BE38DA"/>
    <w:rsid w:val="00BE4322"/>
    <w:rsid w:val="00BE6688"/>
    <w:rsid w:val="00BE7406"/>
    <w:rsid w:val="00BE7603"/>
    <w:rsid w:val="00BF14E7"/>
    <w:rsid w:val="00BF3279"/>
    <w:rsid w:val="00BF6C75"/>
    <w:rsid w:val="00BF74C7"/>
    <w:rsid w:val="00C015F1"/>
    <w:rsid w:val="00C01F33"/>
    <w:rsid w:val="00C02CC6"/>
    <w:rsid w:val="00C02D1E"/>
    <w:rsid w:val="00C040F7"/>
    <w:rsid w:val="00C044AB"/>
    <w:rsid w:val="00C04C1C"/>
    <w:rsid w:val="00C05706"/>
    <w:rsid w:val="00C0589C"/>
    <w:rsid w:val="00C07377"/>
    <w:rsid w:val="00C07EEE"/>
    <w:rsid w:val="00C10478"/>
    <w:rsid w:val="00C111E2"/>
    <w:rsid w:val="00C12107"/>
    <w:rsid w:val="00C12F05"/>
    <w:rsid w:val="00C13CE1"/>
    <w:rsid w:val="00C13DA3"/>
    <w:rsid w:val="00C14D4B"/>
    <w:rsid w:val="00C14E0F"/>
    <w:rsid w:val="00C154BB"/>
    <w:rsid w:val="00C17319"/>
    <w:rsid w:val="00C220C7"/>
    <w:rsid w:val="00C226F8"/>
    <w:rsid w:val="00C2489F"/>
    <w:rsid w:val="00C279B5"/>
    <w:rsid w:val="00C27C45"/>
    <w:rsid w:val="00C31B44"/>
    <w:rsid w:val="00C361C9"/>
    <w:rsid w:val="00C36C07"/>
    <w:rsid w:val="00C3719D"/>
    <w:rsid w:val="00C37CB2"/>
    <w:rsid w:val="00C400A0"/>
    <w:rsid w:val="00C43336"/>
    <w:rsid w:val="00C43F13"/>
    <w:rsid w:val="00C473A5"/>
    <w:rsid w:val="00C507C2"/>
    <w:rsid w:val="00C53E0D"/>
    <w:rsid w:val="00C546F6"/>
    <w:rsid w:val="00C54995"/>
    <w:rsid w:val="00C54D41"/>
    <w:rsid w:val="00C5748B"/>
    <w:rsid w:val="00C60783"/>
    <w:rsid w:val="00C62EE4"/>
    <w:rsid w:val="00C64672"/>
    <w:rsid w:val="00C65ADB"/>
    <w:rsid w:val="00C65CDD"/>
    <w:rsid w:val="00C6765A"/>
    <w:rsid w:val="00C67E14"/>
    <w:rsid w:val="00C70697"/>
    <w:rsid w:val="00C71E8F"/>
    <w:rsid w:val="00C71F5A"/>
    <w:rsid w:val="00C72093"/>
    <w:rsid w:val="00C72EF4"/>
    <w:rsid w:val="00C73D7A"/>
    <w:rsid w:val="00C744FE"/>
    <w:rsid w:val="00C752E2"/>
    <w:rsid w:val="00C7541E"/>
    <w:rsid w:val="00C75D2F"/>
    <w:rsid w:val="00C767BE"/>
    <w:rsid w:val="00C76E3C"/>
    <w:rsid w:val="00C771AE"/>
    <w:rsid w:val="00C81568"/>
    <w:rsid w:val="00C815B7"/>
    <w:rsid w:val="00C81848"/>
    <w:rsid w:val="00C866AE"/>
    <w:rsid w:val="00C9027A"/>
    <w:rsid w:val="00C9068E"/>
    <w:rsid w:val="00C90F3F"/>
    <w:rsid w:val="00C932DA"/>
    <w:rsid w:val="00C93814"/>
    <w:rsid w:val="00C93C4B"/>
    <w:rsid w:val="00C944AB"/>
    <w:rsid w:val="00C95B40"/>
    <w:rsid w:val="00C96DF4"/>
    <w:rsid w:val="00CA1ED8"/>
    <w:rsid w:val="00CA3E83"/>
    <w:rsid w:val="00CA64B9"/>
    <w:rsid w:val="00CA6527"/>
    <w:rsid w:val="00CB1F63"/>
    <w:rsid w:val="00CB24B2"/>
    <w:rsid w:val="00CB3732"/>
    <w:rsid w:val="00CB5EB4"/>
    <w:rsid w:val="00CB660E"/>
    <w:rsid w:val="00CB7170"/>
    <w:rsid w:val="00CC040E"/>
    <w:rsid w:val="00CC111F"/>
    <w:rsid w:val="00CC2011"/>
    <w:rsid w:val="00CC234D"/>
    <w:rsid w:val="00CC317B"/>
    <w:rsid w:val="00CC3718"/>
    <w:rsid w:val="00CC3EA0"/>
    <w:rsid w:val="00CC55C8"/>
    <w:rsid w:val="00CC5675"/>
    <w:rsid w:val="00CC5C0B"/>
    <w:rsid w:val="00CC76BE"/>
    <w:rsid w:val="00CC7B45"/>
    <w:rsid w:val="00CD0D60"/>
    <w:rsid w:val="00CD1188"/>
    <w:rsid w:val="00CD2ED1"/>
    <w:rsid w:val="00CD337B"/>
    <w:rsid w:val="00CD544E"/>
    <w:rsid w:val="00CD5F89"/>
    <w:rsid w:val="00CD7C81"/>
    <w:rsid w:val="00CE0424"/>
    <w:rsid w:val="00CE0BF7"/>
    <w:rsid w:val="00CE14C0"/>
    <w:rsid w:val="00CE2380"/>
    <w:rsid w:val="00CE52D2"/>
    <w:rsid w:val="00CE6622"/>
    <w:rsid w:val="00CE684C"/>
    <w:rsid w:val="00CE69B2"/>
    <w:rsid w:val="00CE7561"/>
    <w:rsid w:val="00CF0D71"/>
    <w:rsid w:val="00CF1354"/>
    <w:rsid w:val="00CF25C9"/>
    <w:rsid w:val="00CF3A87"/>
    <w:rsid w:val="00CF3B1F"/>
    <w:rsid w:val="00CF3BF6"/>
    <w:rsid w:val="00CF3F78"/>
    <w:rsid w:val="00CF408E"/>
    <w:rsid w:val="00CF4665"/>
    <w:rsid w:val="00CF625B"/>
    <w:rsid w:val="00CF687E"/>
    <w:rsid w:val="00CF6CD6"/>
    <w:rsid w:val="00CF6F4B"/>
    <w:rsid w:val="00D0349B"/>
    <w:rsid w:val="00D058B2"/>
    <w:rsid w:val="00D10249"/>
    <w:rsid w:val="00D1063D"/>
    <w:rsid w:val="00D115C3"/>
    <w:rsid w:val="00D11897"/>
    <w:rsid w:val="00D13135"/>
    <w:rsid w:val="00D13E4E"/>
    <w:rsid w:val="00D14D60"/>
    <w:rsid w:val="00D14E25"/>
    <w:rsid w:val="00D1513A"/>
    <w:rsid w:val="00D20537"/>
    <w:rsid w:val="00D21269"/>
    <w:rsid w:val="00D21782"/>
    <w:rsid w:val="00D239A7"/>
    <w:rsid w:val="00D23F47"/>
    <w:rsid w:val="00D24064"/>
    <w:rsid w:val="00D301A7"/>
    <w:rsid w:val="00D36ADC"/>
    <w:rsid w:val="00D36E71"/>
    <w:rsid w:val="00D3721B"/>
    <w:rsid w:val="00D37B00"/>
    <w:rsid w:val="00D37D87"/>
    <w:rsid w:val="00D40B33"/>
    <w:rsid w:val="00D40BFF"/>
    <w:rsid w:val="00D40D91"/>
    <w:rsid w:val="00D4216D"/>
    <w:rsid w:val="00D4318F"/>
    <w:rsid w:val="00D438BF"/>
    <w:rsid w:val="00D440F8"/>
    <w:rsid w:val="00D47B8B"/>
    <w:rsid w:val="00D5452D"/>
    <w:rsid w:val="00D546FF"/>
    <w:rsid w:val="00D55AD5"/>
    <w:rsid w:val="00D56DCB"/>
    <w:rsid w:val="00D576CA"/>
    <w:rsid w:val="00D61AF5"/>
    <w:rsid w:val="00D652B5"/>
    <w:rsid w:val="00D66155"/>
    <w:rsid w:val="00D67764"/>
    <w:rsid w:val="00D708B0"/>
    <w:rsid w:val="00D72453"/>
    <w:rsid w:val="00D72987"/>
    <w:rsid w:val="00D750CB"/>
    <w:rsid w:val="00D75257"/>
    <w:rsid w:val="00D77387"/>
    <w:rsid w:val="00D7795E"/>
    <w:rsid w:val="00D77B1D"/>
    <w:rsid w:val="00D8021F"/>
    <w:rsid w:val="00D80383"/>
    <w:rsid w:val="00D823C6"/>
    <w:rsid w:val="00D8327F"/>
    <w:rsid w:val="00D8589A"/>
    <w:rsid w:val="00D86B65"/>
    <w:rsid w:val="00D86CA3"/>
    <w:rsid w:val="00D871CE"/>
    <w:rsid w:val="00D90656"/>
    <w:rsid w:val="00D9196D"/>
    <w:rsid w:val="00D92940"/>
    <w:rsid w:val="00D92982"/>
    <w:rsid w:val="00D94DC9"/>
    <w:rsid w:val="00D9522D"/>
    <w:rsid w:val="00D9709A"/>
    <w:rsid w:val="00DA0773"/>
    <w:rsid w:val="00DA0F8C"/>
    <w:rsid w:val="00DA19E2"/>
    <w:rsid w:val="00DA3051"/>
    <w:rsid w:val="00DA305E"/>
    <w:rsid w:val="00DA5079"/>
    <w:rsid w:val="00DA52F1"/>
    <w:rsid w:val="00DA5417"/>
    <w:rsid w:val="00DA56E8"/>
    <w:rsid w:val="00DB0A9F"/>
    <w:rsid w:val="00DB1F33"/>
    <w:rsid w:val="00DB377D"/>
    <w:rsid w:val="00DB6A4B"/>
    <w:rsid w:val="00DC0667"/>
    <w:rsid w:val="00DC0792"/>
    <w:rsid w:val="00DC2D36"/>
    <w:rsid w:val="00DC36F3"/>
    <w:rsid w:val="00DC53EF"/>
    <w:rsid w:val="00DC5BCB"/>
    <w:rsid w:val="00DC710F"/>
    <w:rsid w:val="00DE14C1"/>
    <w:rsid w:val="00DE3646"/>
    <w:rsid w:val="00DE5608"/>
    <w:rsid w:val="00DE58D0"/>
    <w:rsid w:val="00DE654F"/>
    <w:rsid w:val="00DE6F8B"/>
    <w:rsid w:val="00DE6F9C"/>
    <w:rsid w:val="00DE7AB7"/>
    <w:rsid w:val="00DF0666"/>
    <w:rsid w:val="00DF0B6E"/>
    <w:rsid w:val="00DF15E0"/>
    <w:rsid w:val="00DF194D"/>
    <w:rsid w:val="00DF2FE1"/>
    <w:rsid w:val="00DF37A0"/>
    <w:rsid w:val="00DF4776"/>
    <w:rsid w:val="00DF5830"/>
    <w:rsid w:val="00E01ECC"/>
    <w:rsid w:val="00E05B03"/>
    <w:rsid w:val="00E110E7"/>
    <w:rsid w:val="00E11349"/>
    <w:rsid w:val="00E11B20"/>
    <w:rsid w:val="00E12226"/>
    <w:rsid w:val="00E12A83"/>
    <w:rsid w:val="00E12F0F"/>
    <w:rsid w:val="00E14D75"/>
    <w:rsid w:val="00E1506B"/>
    <w:rsid w:val="00E17FA2"/>
    <w:rsid w:val="00E2014C"/>
    <w:rsid w:val="00E21223"/>
    <w:rsid w:val="00E22330"/>
    <w:rsid w:val="00E236BA"/>
    <w:rsid w:val="00E2643B"/>
    <w:rsid w:val="00E27CBF"/>
    <w:rsid w:val="00E30B5A"/>
    <w:rsid w:val="00E3123D"/>
    <w:rsid w:val="00E31461"/>
    <w:rsid w:val="00E31D43"/>
    <w:rsid w:val="00E32608"/>
    <w:rsid w:val="00E34188"/>
    <w:rsid w:val="00E346EE"/>
    <w:rsid w:val="00E34B6E"/>
    <w:rsid w:val="00E354B4"/>
    <w:rsid w:val="00E35559"/>
    <w:rsid w:val="00E35FE0"/>
    <w:rsid w:val="00E36AFE"/>
    <w:rsid w:val="00E3723A"/>
    <w:rsid w:val="00E37860"/>
    <w:rsid w:val="00E441CF"/>
    <w:rsid w:val="00E446F1"/>
    <w:rsid w:val="00E46886"/>
    <w:rsid w:val="00E47468"/>
    <w:rsid w:val="00E47AEF"/>
    <w:rsid w:val="00E51838"/>
    <w:rsid w:val="00E53B75"/>
    <w:rsid w:val="00E54E3B"/>
    <w:rsid w:val="00E57565"/>
    <w:rsid w:val="00E609E9"/>
    <w:rsid w:val="00E63838"/>
    <w:rsid w:val="00E64434"/>
    <w:rsid w:val="00E67C51"/>
    <w:rsid w:val="00E67D7A"/>
    <w:rsid w:val="00E7105D"/>
    <w:rsid w:val="00E723E1"/>
    <w:rsid w:val="00E72719"/>
    <w:rsid w:val="00E72EFC"/>
    <w:rsid w:val="00E73A21"/>
    <w:rsid w:val="00E758EC"/>
    <w:rsid w:val="00E769B5"/>
    <w:rsid w:val="00E774CC"/>
    <w:rsid w:val="00E7787D"/>
    <w:rsid w:val="00E77C08"/>
    <w:rsid w:val="00E81778"/>
    <w:rsid w:val="00E8234C"/>
    <w:rsid w:val="00E83AA9"/>
    <w:rsid w:val="00E854D8"/>
    <w:rsid w:val="00E855D9"/>
    <w:rsid w:val="00E85928"/>
    <w:rsid w:val="00E862E8"/>
    <w:rsid w:val="00E87822"/>
    <w:rsid w:val="00E87CBF"/>
    <w:rsid w:val="00E90395"/>
    <w:rsid w:val="00E90E49"/>
    <w:rsid w:val="00E913EA"/>
    <w:rsid w:val="00E917F9"/>
    <w:rsid w:val="00E9291C"/>
    <w:rsid w:val="00E93FFE"/>
    <w:rsid w:val="00E94F8A"/>
    <w:rsid w:val="00E96F9E"/>
    <w:rsid w:val="00E97237"/>
    <w:rsid w:val="00E97323"/>
    <w:rsid w:val="00E97F34"/>
    <w:rsid w:val="00EA151D"/>
    <w:rsid w:val="00EA4E76"/>
    <w:rsid w:val="00EA64E3"/>
    <w:rsid w:val="00EA7A41"/>
    <w:rsid w:val="00EB077B"/>
    <w:rsid w:val="00EB4EA2"/>
    <w:rsid w:val="00EC065C"/>
    <w:rsid w:val="00EC08D3"/>
    <w:rsid w:val="00EC24AD"/>
    <w:rsid w:val="00EC24D5"/>
    <w:rsid w:val="00EC27C6"/>
    <w:rsid w:val="00EC4207"/>
    <w:rsid w:val="00EC5209"/>
    <w:rsid w:val="00EC5653"/>
    <w:rsid w:val="00EC71CE"/>
    <w:rsid w:val="00EC7907"/>
    <w:rsid w:val="00ED0342"/>
    <w:rsid w:val="00ED1006"/>
    <w:rsid w:val="00ED25E3"/>
    <w:rsid w:val="00ED5027"/>
    <w:rsid w:val="00ED5314"/>
    <w:rsid w:val="00ED5B13"/>
    <w:rsid w:val="00ED62F8"/>
    <w:rsid w:val="00ED6425"/>
    <w:rsid w:val="00EE2A22"/>
    <w:rsid w:val="00EE305F"/>
    <w:rsid w:val="00EE5E13"/>
    <w:rsid w:val="00EF18FE"/>
    <w:rsid w:val="00EF19E3"/>
    <w:rsid w:val="00EF4568"/>
    <w:rsid w:val="00EF5787"/>
    <w:rsid w:val="00EF60D0"/>
    <w:rsid w:val="00EF635B"/>
    <w:rsid w:val="00F00694"/>
    <w:rsid w:val="00F0528D"/>
    <w:rsid w:val="00F06C67"/>
    <w:rsid w:val="00F06DFD"/>
    <w:rsid w:val="00F071D1"/>
    <w:rsid w:val="00F07533"/>
    <w:rsid w:val="00F10629"/>
    <w:rsid w:val="00F10BE0"/>
    <w:rsid w:val="00F133EF"/>
    <w:rsid w:val="00F149BD"/>
    <w:rsid w:val="00F15ECB"/>
    <w:rsid w:val="00F15FA5"/>
    <w:rsid w:val="00F173A9"/>
    <w:rsid w:val="00F209B7"/>
    <w:rsid w:val="00F2203A"/>
    <w:rsid w:val="00F2376F"/>
    <w:rsid w:val="00F243D8"/>
    <w:rsid w:val="00F26D93"/>
    <w:rsid w:val="00F30828"/>
    <w:rsid w:val="00F31211"/>
    <w:rsid w:val="00F313D6"/>
    <w:rsid w:val="00F35388"/>
    <w:rsid w:val="00F379D5"/>
    <w:rsid w:val="00F40F0C"/>
    <w:rsid w:val="00F45950"/>
    <w:rsid w:val="00F4766C"/>
    <w:rsid w:val="00F47A78"/>
    <w:rsid w:val="00F5060E"/>
    <w:rsid w:val="00F507D1"/>
    <w:rsid w:val="00F514D0"/>
    <w:rsid w:val="00F519CE"/>
    <w:rsid w:val="00F51ADA"/>
    <w:rsid w:val="00F554F0"/>
    <w:rsid w:val="00F55E69"/>
    <w:rsid w:val="00F56637"/>
    <w:rsid w:val="00F60203"/>
    <w:rsid w:val="00F607C5"/>
    <w:rsid w:val="00F60DEA"/>
    <w:rsid w:val="00F61654"/>
    <w:rsid w:val="00F627E6"/>
    <w:rsid w:val="00F6302A"/>
    <w:rsid w:val="00F63950"/>
    <w:rsid w:val="00F64C2B"/>
    <w:rsid w:val="00F651BE"/>
    <w:rsid w:val="00F668E8"/>
    <w:rsid w:val="00F67F53"/>
    <w:rsid w:val="00F703BE"/>
    <w:rsid w:val="00F71F69"/>
    <w:rsid w:val="00F720AA"/>
    <w:rsid w:val="00F72B72"/>
    <w:rsid w:val="00F73FCC"/>
    <w:rsid w:val="00F74BB9"/>
    <w:rsid w:val="00F75582"/>
    <w:rsid w:val="00F757A5"/>
    <w:rsid w:val="00F75BBF"/>
    <w:rsid w:val="00F76EFA"/>
    <w:rsid w:val="00F804BE"/>
    <w:rsid w:val="00F817CE"/>
    <w:rsid w:val="00F8456C"/>
    <w:rsid w:val="00F859D8"/>
    <w:rsid w:val="00F868F5"/>
    <w:rsid w:val="00F86FB7"/>
    <w:rsid w:val="00F9056A"/>
    <w:rsid w:val="00F90806"/>
    <w:rsid w:val="00F90F8D"/>
    <w:rsid w:val="00F92782"/>
    <w:rsid w:val="00F92C83"/>
    <w:rsid w:val="00F93AA9"/>
    <w:rsid w:val="00F96985"/>
    <w:rsid w:val="00F96C37"/>
    <w:rsid w:val="00F96EB6"/>
    <w:rsid w:val="00F96FBE"/>
    <w:rsid w:val="00F97838"/>
    <w:rsid w:val="00FA0851"/>
    <w:rsid w:val="00FA1CFA"/>
    <w:rsid w:val="00FA2BB3"/>
    <w:rsid w:val="00FA398A"/>
    <w:rsid w:val="00FA4001"/>
    <w:rsid w:val="00FA646E"/>
    <w:rsid w:val="00FB0CDD"/>
    <w:rsid w:val="00FB3419"/>
    <w:rsid w:val="00FB4C80"/>
    <w:rsid w:val="00FB5101"/>
    <w:rsid w:val="00FB5C63"/>
    <w:rsid w:val="00FB6A6A"/>
    <w:rsid w:val="00FB76FA"/>
    <w:rsid w:val="00FC033B"/>
    <w:rsid w:val="00FC3D6B"/>
    <w:rsid w:val="00FC50C3"/>
    <w:rsid w:val="00FC7429"/>
    <w:rsid w:val="00FD07F6"/>
    <w:rsid w:val="00FD1EC8"/>
    <w:rsid w:val="00FD2942"/>
    <w:rsid w:val="00FD3AF1"/>
    <w:rsid w:val="00FD47ED"/>
    <w:rsid w:val="00FD595C"/>
    <w:rsid w:val="00FD74DB"/>
    <w:rsid w:val="00FD7660"/>
    <w:rsid w:val="00FE021E"/>
    <w:rsid w:val="00FE0655"/>
    <w:rsid w:val="00FE07CC"/>
    <w:rsid w:val="00FE2305"/>
    <w:rsid w:val="00FE2365"/>
    <w:rsid w:val="00FE37D7"/>
    <w:rsid w:val="00FE4C7B"/>
    <w:rsid w:val="00FE5EAB"/>
    <w:rsid w:val="00FE7336"/>
    <w:rsid w:val="00FE787C"/>
    <w:rsid w:val="00FE7FD8"/>
    <w:rsid w:val="00FF03C9"/>
    <w:rsid w:val="00FF13A4"/>
    <w:rsid w:val="00FF1712"/>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5B019C3C-6CF6-4AC1-B632-B4A81555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6B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 w:type="paragraph" w:customStyle="1" w:styleId="IvDbodytext">
    <w:name w:val="IvD bodytext"/>
    <w:basedOn w:val="BodyText"/>
    <w:link w:val="IvDbodytextChar"/>
    <w:qFormat/>
    <w:rsid w:val="008137A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8137A8"/>
    <w:rPr>
      <w:rFonts w:ascii="Arial" w:eastAsia="Times New Roman" w:hAnsi="Arial"/>
      <w:spacing w:val="2"/>
      <w:lang w:val="en-US" w:eastAsia="en-US"/>
    </w:rPr>
  </w:style>
  <w:style w:type="paragraph" w:styleId="Revision">
    <w:name w:val="Revision"/>
    <w:hidden/>
    <w:uiPriority w:val="99"/>
    <w:semiHidden/>
    <w:rsid w:val="00F96EB6"/>
    <w:rPr>
      <w:rFonts w:ascii="Times New Roman" w:hAnsi="Times New Roman"/>
      <w:lang w:eastAsia="ja-JP"/>
    </w:rPr>
  </w:style>
  <w:style w:type="character" w:styleId="PlaceholderText">
    <w:name w:val="Placeholder Text"/>
    <w:basedOn w:val="DefaultParagraphFont"/>
    <w:uiPriority w:val="99"/>
    <w:semiHidden/>
    <w:rsid w:val="00033541"/>
    <w:rPr>
      <w:color w:val="808080"/>
    </w:rPr>
  </w:style>
  <w:style w:type="paragraph" w:customStyle="1" w:styleId="Default">
    <w:name w:val="Default"/>
    <w:rsid w:val="00B25F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252714246">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724833588">
          <w:marLeft w:val="547"/>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545026794">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830146827">
      <w:bodyDiv w:val="1"/>
      <w:marLeft w:val="0"/>
      <w:marRight w:val="0"/>
      <w:marTop w:val="0"/>
      <w:marBottom w:val="0"/>
      <w:divBdr>
        <w:top w:val="none" w:sz="0" w:space="0" w:color="auto"/>
        <w:left w:val="none" w:sz="0" w:space="0" w:color="auto"/>
        <w:bottom w:val="none" w:sz="0" w:space="0" w:color="auto"/>
        <w:right w:val="none" w:sz="0" w:space="0" w:color="auto"/>
      </w:divBdr>
      <w:divsChild>
        <w:div w:id="298925932">
          <w:marLeft w:val="274"/>
          <w:marRight w:val="0"/>
          <w:marTop w:val="60"/>
          <w:marBottom w:val="0"/>
          <w:divBdr>
            <w:top w:val="none" w:sz="0" w:space="0" w:color="auto"/>
            <w:left w:val="none" w:sz="0" w:space="0" w:color="auto"/>
            <w:bottom w:val="none" w:sz="0" w:space="0" w:color="auto"/>
            <w:right w:val="none" w:sz="0" w:space="0" w:color="auto"/>
          </w:divBdr>
        </w:div>
        <w:div w:id="1824814450">
          <w:marLeft w:val="274"/>
          <w:marRight w:val="0"/>
          <w:marTop w:val="60"/>
          <w:marBottom w:val="0"/>
          <w:divBdr>
            <w:top w:val="none" w:sz="0" w:space="0" w:color="auto"/>
            <w:left w:val="none" w:sz="0" w:space="0" w:color="auto"/>
            <w:bottom w:val="none" w:sz="0" w:space="0" w:color="auto"/>
            <w:right w:val="none" w:sz="0" w:space="0" w:color="auto"/>
          </w:divBdr>
        </w:div>
      </w:divsChild>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82722848">
      <w:bodyDiv w:val="1"/>
      <w:marLeft w:val="0"/>
      <w:marRight w:val="0"/>
      <w:marTop w:val="0"/>
      <w:marBottom w:val="0"/>
      <w:divBdr>
        <w:top w:val="none" w:sz="0" w:space="0" w:color="auto"/>
        <w:left w:val="none" w:sz="0" w:space="0" w:color="auto"/>
        <w:bottom w:val="none" w:sz="0" w:space="0" w:color="auto"/>
        <w:right w:val="none" w:sz="0" w:space="0" w:color="auto"/>
      </w:divBdr>
    </w:div>
    <w:div w:id="1123962569">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25764912">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630745173">
          <w:marLeft w:val="547"/>
          <w:marRight w:val="0"/>
          <w:marTop w:val="0"/>
          <w:marBottom w:val="0"/>
          <w:divBdr>
            <w:top w:val="none" w:sz="0" w:space="0" w:color="auto"/>
            <w:left w:val="none" w:sz="0" w:space="0" w:color="auto"/>
            <w:bottom w:val="none" w:sz="0" w:space="0" w:color="auto"/>
            <w:right w:val="none" w:sz="0" w:space="0" w:color="auto"/>
          </w:divBdr>
        </w:div>
      </w:divsChild>
    </w:div>
    <w:div w:id="1644920174">
      <w:bodyDiv w:val="1"/>
      <w:marLeft w:val="0"/>
      <w:marRight w:val="0"/>
      <w:marTop w:val="0"/>
      <w:marBottom w:val="0"/>
      <w:divBdr>
        <w:top w:val="none" w:sz="0" w:space="0" w:color="auto"/>
        <w:left w:val="none" w:sz="0" w:space="0" w:color="auto"/>
        <w:bottom w:val="none" w:sz="0" w:space="0" w:color="auto"/>
        <w:right w:val="none" w:sz="0" w:space="0" w:color="auto"/>
      </w:divBdr>
    </w:div>
    <w:div w:id="1918974158">
      <w:bodyDiv w:val="1"/>
      <w:marLeft w:val="0"/>
      <w:marRight w:val="0"/>
      <w:marTop w:val="0"/>
      <w:marBottom w:val="0"/>
      <w:divBdr>
        <w:top w:val="none" w:sz="0" w:space="0" w:color="auto"/>
        <w:left w:val="none" w:sz="0" w:space="0" w:color="auto"/>
        <w:bottom w:val="none" w:sz="0" w:space="0" w:color="auto"/>
        <w:right w:val="none" w:sz="0" w:space="0" w:color="auto"/>
      </w:divBdr>
      <w:divsChild>
        <w:div w:id="194542737">
          <w:marLeft w:val="547"/>
          <w:marRight w:val="0"/>
          <w:marTop w:val="0"/>
          <w:marBottom w:val="0"/>
          <w:divBdr>
            <w:top w:val="none" w:sz="0" w:space="0" w:color="auto"/>
            <w:left w:val="none" w:sz="0" w:space="0" w:color="auto"/>
            <w:bottom w:val="none" w:sz="0" w:space="0" w:color="auto"/>
            <w:right w:val="none" w:sz="0" w:space="0" w:color="auto"/>
          </w:divBdr>
        </w:div>
        <w:div w:id="672493836">
          <w:marLeft w:val="547"/>
          <w:marRight w:val="0"/>
          <w:marTop w:val="0"/>
          <w:marBottom w:val="0"/>
          <w:divBdr>
            <w:top w:val="none" w:sz="0" w:space="0" w:color="auto"/>
            <w:left w:val="none" w:sz="0" w:space="0" w:color="auto"/>
            <w:bottom w:val="none" w:sz="0" w:space="0" w:color="auto"/>
            <w:right w:val="none" w:sz="0" w:space="0" w:color="auto"/>
          </w:divBdr>
        </w:div>
        <w:div w:id="1551769920">
          <w:marLeft w:val="1166"/>
          <w:marRight w:val="0"/>
          <w:marTop w:val="0"/>
          <w:marBottom w:val="0"/>
          <w:divBdr>
            <w:top w:val="none" w:sz="0" w:space="0" w:color="auto"/>
            <w:left w:val="none" w:sz="0" w:space="0" w:color="auto"/>
            <w:bottom w:val="none" w:sz="0" w:space="0" w:color="auto"/>
            <w:right w:val="none" w:sz="0" w:space="0" w:color="auto"/>
          </w:divBdr>
        </w:div>
      </w:divsChild>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30D0A-0C03-4D32-9915-5D4DB63684C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E748905-3FC5-402E-BDD5-EB89BA8A3470}">
  <ds:schemaRefs>
    <ds:schemaRef ds:uri="http://schemas.microsoft.com/sharepoint/v3/contenttype/forms"/>
  </ds:schemaRefs>
</ds:datastoreItem>
</file>

<file path=customXml/itemProps3.xml><?xml version="1.0" encoding="utf-8"?>
<ds:datastoreItem xmlns:ds="http://schemas.openxmlformats.org/officeDocument/2006/customXml" ds:itemID="{75FC7306-6224-4CC8-8189-D74E52680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C3871-3F2B-49FB-A68C-EA92FA0D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6</Pages>
  <Words>2527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16901</CharactersWithSpaces>
  <SharedDoc>false</SharedDoc>
  <HLinks>
    <vt:vector size="66" baseType="variant">
      <vt:variant>
        <vt:i4>2424841</vt:i4>
      </vt:variant>
      <vt:variant>
        <vt:i4>42</vt:i4>
      </vt:variant>
      <vt:variant>
        <vt:i4>0</vt:i4>
      </vt:variant>
      <vt:variant>
        <vt:i4>5</vt:i4>
      </vt:variant>
      <vt:variant>
        <vt:lpwstr>http://www.3gpp.org/ftp/tsg_ran/TSG_RAN/TSGR_84/Docs/RP-191576.zip</vt:lpwstr>
      </vt:variant>
      <vt:variant>
        <vt:lpwstr/>
      </vt:variant>
      <vt:variant>
        <vt:i4>1376319</vt:i4>
      </vt:variant>
      <vt:variant>
        <vt:i4>38</vt:i4>
      </vt:variant>
      <vt:variant>
        <vt:i4>0</vt:i4>
      </vt:variant>
      <vt:variant>
        <vt:i4>5</vt:i4>
      </vt:variant>
      <vt:variant>
        <vt:lpwstr/>
      </vt:variant>
      <vt:variant>
        <vt:lpwstr>_Toc20743294</vt:lpwstr>
      </vt:variant>
      <vt:variant>
        <vt:i4>1179711</vt:i4>
      </vt:variant>
      <vt:variant>
        <vt:i4>35</vt:i4>
      </vt:variant>
      <vt:variant>
        <vt:i4>0</vt:i4>
      </vt:variant>
      <vt:variant>
        <vt:i4>5</vt:i4>
      </vt:variant>
      <vt:variant>
        <vt:lpwstr/>
      </vt:variant>
      <vt:variant>
        <vt:lpwstr>_Toc20743293</vt:lpwstr>
      </vt:variant>
      <vt:variant>
        <vt:i4>1245247</vt:i4>
      </vt:variant>
      <vt:variant>
        <vt:i4>32</vt:i4>
      </vt:variant>
      <vt:variant>
        <vt:i4>0</vt:i4>
      </vt:variant>
      <vt:variant>
        <vt:i4>5</vt:i4>
      </vt:variant>
      <vt:variant>
        <vt:lpwstr/>
      </vt:variant>
      <vt:variant>
        <vt:lpwstr>_Toc20743292</vt:lpwstr>
      </vt:variant>
      <vt:variant>
        <vt:i4>1048639</vt:i4>
      </vt:variant>
      <vt:variant>
        <vt:i4>29</vt:i4>
      </vt:variant>
      <vt:variant>
        <vt:i4>0</vt:i4>
      </vt:variant>
      <vt:variant>
        <vt:i4>5</vt:i4>
      </vt:variant>
      <vt:variant>
        <vt:lpwstr/>
      </vt:variant>
      <vt:variant>
        <vt:lpwstr>_Toc20743291</vt:lpwstr>
      </vt:variant>
      <vt:variant>
        <vt:i4>1114175</vt:i4>
      </vt:variant>
      <vt:variant>
        <vt:i4>26</vt:i4>
      </vt:variant>
      <vt:variant>
        <vt:i4>0</vt:i4>
      </vt:variant>
      <vt:variant>
        <vt:i4>5</vt:i4>
      </vt:variant>
      <vt:variant>
        <vt:lpwstr/>
      </vt:variant>
      <vt:variant>
        <vt:lpwstr>_Toc20743290</vt:lpwstr>
      </vt:variant>
      <vt:variant>
        <vt:i4>1572926</vt:i4>
      </vt:variant>
      <vt:variant>
        <vt:i4>23</vt:i4>
      </vt:variant>
      <vt:variant>
        <vt:i4>0</vt:i4>
      </vt:variant>
      <vt:variant>
        <vt:i4>5</vt:i4>
      </vt:variant>
      <vt:variant>
        <vt:lpwstr/>
      </vt:variant>
      <vt:variant>
        <vt:lpwstr>_Toc20743289</vt:lpwstr>
      </vt:variant>
      <vt:variant>
        <vt:i4>1638462</vt:i4>
      </vt:variant>
      <vt:variant>
        <vt:i4>20</vt:i4>
      </vt:variant>
      <vt:variant>
        <vt:i4>0</vt:i4>
      </vt:variant>
      <vt:variant>
        <vt:i4>5</vt:i4>
      </vt:variant>
      <vt:variant>
        <vt:lpwstr/>
      </vt:variant>
      <vt:variant>
        <vt:lpwstr>_Toc20743288</vt:lpwstr>
      </vt:variant>
      <vt:variant>
        <vt:i4>1441854</vt:i4>
      </vt:variant>
      <vt:variant>
        <vt:i4>17</vt:i4>
      </vt:variant>
      <vt:variant>
        <vt:i4>0</vt:i4>
      </vt:variant>
      <vt:variant>
        <vt:i4>5</vt:i4>
      </vt:variant>
      <vt:variant>
        <vt:lpwstr/>
      </vt:variant>
      <vt:variant>
        <vt:lpwstr>_Toc20743287</vt:lpwstr>
      </vt:variant>
      <vt:variant>
        <vt:i4>1507390</vt:i4>
      </vt:variant>
      <vt:variant>
        <vt:i4>14</vt:i4>
      </vt:variant>
      <vt:variant>
        <vt:i4>0</vt:i4>
      </vt:variant>
      <vt:variant>
        <vt:i4>5</vt:i4>
      </vt:variant>
      <vt:variant>
        <vt:lpwstr/>
      </vt:variant>
      <vt:variant>
        <vt:lpwstr>_Toc20743286</vt:lpwstr>
      </vt:variant>
      <vt:variant>
        <vt:i4>1310782</vt:i4>
      </vt:variant>
      <vt:variant>
        <vt:i4>8</vt:i4>
      </vt:variant>
      <vt:variant>
        <vt:i4>0</vt:i4>
      </vt:variant>
      <vt:variant>
        <vt:i4>5</vt:i4>
      </vt:variant>
      <vt:variant>
        <vt:lpwstr/>
      </vt:variant>
      <vt:variant>
        <vt:lpwstr>_Toc20743285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Yutao Sui</cp:lastModifiedBy>
  <cp:revision>7</cp:revision>
  <cp:lastPrinted>2008-01-31T16:09:00Z</cp:lastPrinted>
  <dcterms:created xsi:type="dcterms:W3CDTF">2019-10-04T08:45:00Z</dcterms:created>
  <dcterms:modified xsi:type="dcterms:W3CDTF">2019-10-04T15:22:00Z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